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balade en foret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α-methyl-1,3-benzodioxole-5-propionaldehyde; eter metylowy cedrowy; pin-2(3)-ene; benzyl salicylate; caryophyllene; 1-(1,2,3,4,5,6,7,8-octahydro-2,3,8,8-tetramethyl-2-naphthyl)ethan-1-one; Eugenol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P261 - Unikać wdychania pyłu/dymu/gazu/mgły/par/rozpylonej cieczy.</w:t>
              <w:br/>
              <w:t>P280 - Stosować rękawice ochronne/odzież ochronną/ochronę oczu/ochronę twarzy/ochronę słuchu.</w:t>
              <w:br/>
              <w:t>P321 - Zastosować określone leczenie (patrz dodatkowa instrukcja udzielenia pierwszej pomocy na etykiecie).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caryophyllene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87-44-5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201-746-1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α-methyl-1,3-benzodioxole-5-propionaldehyde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1205-17-0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214-881-6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605-042-00-9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pin-2(3)-ene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80-56-8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201-291-9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Acute Tox. 4 (Doustne), H302 (ATE=500 mg/kg masy ciała)</w:t>
              <w:br/>
              <w:t>Skin Irrit. 2, H315</w:t>
              <w:br/>
              <w:t>Skin Sens. 1B, H317</w:t>
              <w:br/>
              <w:t>Asp. Tox. 1, H304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Akwowy. Skóra.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pin-2(3)-ene (80-56-8)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mouse, Animal sex: male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422 (Combined Repeated Dose Toxicity Study with the 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balade en foret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pin-2(3)-ene (80-56-8)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0,475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0,17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0,033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balade en foret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pin-2(3)-ene (80-56-8)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 ; d-limonene ; pin-2(3)-ene ; benzyl salicylate ; caryophyllene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 ; d-limonene ; pin-2(3)-ene ; 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balade en foret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balade en foret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C49362-D68D-4227-BFCF-F96949CDE3CA}"/>
</file>

<file path=customXml/itemProps3.xml><?xml version="1.0" encoding="utf-8"?>
<ds:datastoreItem xmlns:ds="http://schemas.openxmlformats.org/officeDocument/2006/customXml" ds:itemID="{47FCC7C5-C35A-431D-9E31-7CA5F8F1FA88}"/>
</file>

<file path=customXml/itemProps4.xml><?xml version="1.0" encoding="utf-8"?>
<ds:datastoreItem xmlns:ds="http://schemas.openxmlformats.org/officeDocument/2006/customXml" ds:itemID="{DD42A9DD-C3EB-4EE2-BA91-F17389F1C0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