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amethyste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Nie sklasyfikowany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Według posiadanych przez nas informacji, produkt ten nie przedstawia szczególnego ryzyka pod warunkiem, że przestrzegane będą ogólne reguły BHP stosowane w przemyśle.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METHYL IONONES, HOMOLINALYL ACETATE, ETHYL LINALOOL, GERANIOL, ISOBORNEOL, COUMARIN, linalool, PRENOL, ROSE KETONE-3.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tbl>
      <w:tblPr>
        <w:tblStyle w:val="SDSTableWithBordersWithHeaderRow"/>
        <w:tblW w:w="10495" w:type="dxa"/>
        <w:tblLayout w:type="fixed"/>
        <w:tblLook w:val="04A0"/>
      </w:tblPr>
      <w:tblGrid>
        <w:gridCol w:w="3969"/>
        <w:gridCol w:w="6526"/>
      </w:tblGrid>
      <w:tr w14:paraId="6251E307" w14:textId="77777777" w:rsidTr="0069446B">
        <w:tblPrEx>
          <w:tblW w:w="10495" w:type="dxa"/>
          <w:tblLayout w:type="fixed"/>
          <w:tblLook w:val="04A0"/>
        </w:tblPrEx>
        <w:trPr>
          <w:trHeight w:val="20"/>
          <w:tblHeader/>
        </w:trPr>
        <w:tc>
          <w:tcPr>
            <w:tcW w:w="10495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5BC2FC32" w14:textId="6E368FE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66B1B816" w14:textId="77777777" w:rsidTr="0069446B">
        <w:tblPrEx>
          <w:tblW w:w="10495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EE2C69" w14:paraId="5409109E" w14:textId="3B1ED55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niewłączona(-e) do wykazu ustanowionego zgodnie z art. 59 ust. 1 rozporządzenia REACH ze względu na właściwości zaburzające gospodarkę hormonalną lub niezidentyfikowana(-e) jako zaburzająca(-e) gospodarkę hormonalną zgodnie z kryteriami określonymi w rozporządzeniu delegowanym Komisji (UE) 2017/2100 lub rozporządzeniu Komisji (UE) 2018/605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573B2F" w:rsidRPr="0069446B" w:rsidP="00EE2C69" w14:paraId="384C6B00" w14:textId="2079666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 (106-24-1)</w:t>
            </w:r>
          </w:p>
        </w:tc>
      </w:tr>
    </w:tbl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4-tert-butylcyclohexyl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32210-23-4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250-954-9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alpha-iso-methylionone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0,263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203-377-1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603-241-00-5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0,236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Skin Sens. 1,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1,5-dimethyl-1-vinylhept-4-enyl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61931-80-4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263-336-9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  <w:br/>
              <w:t>Aquatic Chronic 2, H411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2-isopropoxyethyl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79915-74-5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209-141-4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3,7-dimethylnona-1,6-dien-3-ol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10339-55-6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233-732-6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7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1-(2,6,6-trimethyl-3-cyclohexen-1-yl)-2-buten-1-one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57378-68-4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260-709-8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Irrit. 2, H315</w:t>
              <w:br/>
              <w:t>Skin Sens. 1A, H317</w:t>
              <w:br/>
              <w:t>Aquatic Acute 1, H400</w:t>
              <w:br/>
              <w:t>Aquatic Chronic 1, H410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Kwiatowy. balsamiczny. Orientalny. Proszkowany.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1,5-dimethyl-1-vinylhept-4-enyl acetate (61931-80-4)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5283 mg/kg masy ciała Animal: mouse, Animal sex: male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other: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masy ciała Animal: rat, Guideline: OECD Guideline 401 (Acute Oral Toxicity), 95% CL: 2755 - 3600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402 (Acute Dermal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3600 mg/kg masy ciała Animal: rat, 95% CL: 2840 - 4570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masy ciała Animal: rat, Animal sex: female, Guideline: OECD Guideline 420 (Acute Oral Toxicity - Fixed Dose Method), Guideline: EU Method B.1 bis (Acute Oral Toxicity - Fixed Dose Procedure)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4680 mg/kg Source: NITE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F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02D6B5B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masy ciała Animal: rat, Animal sex: female, Guideline: OECD Guideline 423 (Acute Oral toxicity - Acute Toxic Class Method)</w:t>
            </w:r>
          </w:p>
        </w:tc>
      </w:tr>
      <w:tr w14:paraId="14A1065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Toxicity), Guideline: EU Method B.3 (Acute Toxicity (Dermal)), Guideline: EPA OPPTS 870.1200 (Acute Dermal Toxicity),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A7593A" w:rsidRPr="0069446B" w:rsidP="009215A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8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6CC585F6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A7593A" w:rsidRPr="0069446B" w:rsidP="009215A8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5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8CDE2D2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750 mg/kg masy ciała Animal: rat, Animal sex: male, Guideline: OECD Guideline 421 (Reproduction / Developmental Toxicity Screening Test)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6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 – 200 mg/kg masy ciała Animal: rat, Animal sex: female, Guideline: OECD Guideline 422 (Combined Repeated Dose Toxicity Study with the 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other:,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C0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amethyste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1,5-dimethyl-1-vinylhept-4-enyl acetate (61931-80-4)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1,21 mg/l Test organisms (species):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7,5 mg/l Test organisms (species): Desmodesmus subspicatus (previous name: Scenedesmus subspicatus)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3,4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13,3 mg/l Test organisms (species): Desmodesmus subspicatus (previous name: Scenedesmus subspicatus)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25,1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10,8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8,6 mg/l Test organisms (species): Cyprinus carpio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5,3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0,549 mg/l Source: ECOSAR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562CCB6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 mg/l Test organisms (species): Oncorhynchus mykiss (previous name: Salmo gairdneri)</w:t>
            </w:r>
          </w:p>
        </w:tc>
      </w:tr>
      <w:tr w14:paraId="758D63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 mg/l Test organisms (species): Daphnia magna</w:t>
            </w:r>
          </w:p>
        </w:tc>
      </w:tr>
      <w:tr w14:paraId="66FAA36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9,5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3,5 mg/l Test organisms (species): Raphidocelis subcapitata (previous names: Pseudokirchneriella subcapitata, Selenastrum capricornutum)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amethyste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1,5-dimethyl-1-vinylhept-4-enyl acetate (61931-80-4)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1-(2,6,6-trimethyl-3-cyclohexen-1-yl)-2-buten-1-one (57378-68-4)</w:t>
            </w:r>
          </w:p>
        </w:tc>
      </w:tr>
      <w:tr w14:paraId="2D6A99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D2347BE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11C9E37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522CF1B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702F0D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4,8 Source: Pubchem</w:t>
            </w:r>
          </w:p>
        </w:tc>
      </w:tr>
    </w:tbl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alpha-iso-methylionone ; 1,5-dimethyl-1-vinylhept-4-enyl acetate ; 3,7-dimethylnona-1,6-dien-3-ol ; anisaldehyde ; geraniol ; 4-tert-butylcyclohexyl acetate ; linalool ; 2-isopropoxyethyl salicylate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alpha-iso-methylionone ; 1,5-dimethyl-1-vinylhept-4-enyl acetate ; anisaldehyde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METHYL IONONES, HOMOLINALYL ACETATE, ETHYL LINALOOL, GERANIOL, ISOBORNEOL, COUMARIN, linalool, PRENOL, ROSE KETONE-3. Może powodować reakcję alergiczną.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21.10.2026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21.10.2026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amethyste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amethyste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21.10.2026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63B693-B6C0-4E22-A494-E180FA9CA9C2}"/>
</file>

<file path=customXml/itemProps3.xml><?xml version="1.0" encoding="utf-8"?>
<ds:datastoreItem xmlns:ds="http://schemas.openxmlformats.org/officeDocument/2006/customXml" ds:itemID="{2D9E34A4-1D1A-4C6F-A135-513A608191E0}"/>
</file>

<file path=customXml/itemProps4.xml><?xml version="1.0" encoding="utf-8"?>
<ds:datastoreItem xmlns:ds="http://schemas.openxmlformats.org/officeDocument/2006/customXml" ds:itemID="{B0468157-1D98-445C-A0F4-B91E1633D9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15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