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Monoï rosé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citronellol; geranyl acetate; geraniol; benzyl salicylate; linalyl acetate; linalool; nerol; [3R-(3α,3aβ,6α,7β,8aα)]-octahydro-3,6,8,8-tetramethyl-1H-3a,7-methanoazulen-5-yl acetate; p-methoxybenzyl acetate; 2-benzylideneheptanal; isopentyl salicylate;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2-benzylideneheptanal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122-40-7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204-541-5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1,632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2-phenylethanol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60-12-8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200-456-2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1,053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(ATE=1610 mg/kg)</w:t>
              <w:br/>
              <w:t>Eye Irrit. 2, H319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0,965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0,737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p-methoxybenzyl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104-21-2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203-185-8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Pomarańczowy.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masy ciała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2535 mg/kg masy ciała Animal: rabbit, Guideline: OECD Guideline 402 (Acute Dermal Toxicity), 95% CL: 1769 - 3634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4,63 mg/l air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510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rosé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215 – 464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287,17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59,9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rosé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geraniol ; benzyl salicylate ; linalyl acetate ; linalool ; d-limonene ; 2-phenylethanol ; nerol ; [3R-(3α,3aβ,6α,7β,8aα)]-octahydro-3,6,8,8-tetramethyl-1H-3a,7-methanoazulen-5-yl acetate ; p-methoxybenzyl acetate ; benzyl alcohol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d-limonene ; [3R-(3α,3aβ,6α,7β,8aα)]-octahydro-3,6,8,8-tetramethyl-1H-3a,7-methanoazulen-5-yl acetate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30.07.2026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30.07.2026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rosé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rosé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30.07.2026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BE4FDA-DE26-4036-824E-1D8D8D3E53FD}"/>
</file>

<file path=customXml/itemProps3.xml><?xml version="1.0" encoding="utf-8"?>
<ds:datastoreItem xmlns:ds="http://schemas.openxmlformats.org/officeDocument/2006/customXml" ds:itemID="{9992FDF9-4B89-4D35-9EFA-D3C34623CEE0}"/>
</file>

<file path=customXml/itemProps4.xml><?xml version="1.0" encoding="utf-8"?>
<ds:datastoreItem xmlns:ds="http://schemas.openxmlformats.org/officeDocument/2006/customXml" ds:itemID="{50CC340B-D3F0-4304-B2B5-6663D83047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