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305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Przeznaczone do użytku ogólnego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głównego zastosowania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Stosowanie przez konsumentów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benzyl alcohol, ISOBORNEOL, coumarin.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(ATE=1580 mg/kg masy ciała)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4-tert-butylcyclohexyl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Gourmand. Wanilia. Kwiatowy.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masy ciała Animal: mouse, Guideline: OECD Guideline 401 (Acute Oral Toxicity), 95% CL: 1410 - 1770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300 – 2000 mg/kg masy ciała Animal: rat, Animal sex: female, Guideline: OECD Guideline 420 (Acute Oral Toxicity - Fixed Dose Method), Guideline: EU Method B.1 bis (Acute Oral Toxicity - Fixed Dose Procedure)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masy ciała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305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8,6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305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alcohol ; 4-tert-butylcyclohexyl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benzyl alcohol, ISOBORNEOL, coumarin.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16.06.2026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16.06.2026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305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305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16.06.2026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47DD82-A469-4A65-B145-081D8CBBE178}"/>
</file>

<file path=customXml/itemProps3.xml><?xml version="1.0" encoding="utf-8"?>
<ds:datastoreItem xmlns:ds="http://schemas.openxmlformats.org/officeDocument/2006/customXml" ds:itemID="{AFB436F3-B82F-47D6-98C6-73007B6C7D1A}"/>
</file>

<file path=customXml/itemProps4.xml><?xml version="1.0" encoding="utf-8"?>
<ds:datastoreItem xmlns:ds="http://schemas.openxmlformats.org/officeDocument/2006/customXml" ds:itemID="{6F7934D9-6F4C-41BC-A96F-DD3AA307EB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