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224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Może powodować reakcję alergiczną skóry. Działa toksycznie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3,7-dimethylnona-1,6-dien-3-ol; piperonal; linalyl acetate; alpha-iso-methylionone; linalool; d-limonene; 1-(1,2,3,4,5,6,7,8-octahydro-2,3,8,8-tetramethyl-2-naphthyl)ethan-1-one; hexyl salicylate; acetyl cedrene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Może powodować alergię skórną.</w:t>
              <w:br/>
              <w:t>H411 - Działa toksycznie na organizmy wodne, powodując długotrwałe skutki.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P302+P352 - W PRZYPADKU KONTAKTU ZE SKÓRĄ: Dokładnie umyć wody z mydłem.</w:t>
              <w:br/>
              <w:t>P333+P313 - W przypadku podrażnienia lub wysypki skórnej: skonsultować się z lekarzem.</w:t>
              <w:br/>
              <w:t>P501 - Zawartość i 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alpha-iso-methylionone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127-51-5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204-846-3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3,7-dimethylnona-1,6-dien-3-ol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10339-55-6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233-732-6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120-57-0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204-409-7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hexyl salicylate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6259-76-3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228-408-6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607-772-00-3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Repr. 2, H361d</w:t>
              <w:br/>
              <w:t>STOT RE Niesklasyfikowane</w:t>
              <w:br/>
              <w:t>Aquatic Acute 1, H400 (M=1)</w:t>
              <w:br/>
              <w:t>Aquatic Chronic 1, H410 (M=1)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acetyl cedrene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32388-55-9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251-020-3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Acute 1, H400</w:t>
              <w:br/>
              <w:t>Aquatic Chronic 1, H410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wyciek.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Kwiatowy. Proszkowany.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5283 mg/kg masy ciała Animal: mouse, Animal sex: male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other: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2700 mg/kg masy ciała Animal: rat, Guideline: OECD Guideline 401 (Acute Oral Toxicity), 95% CL: 2350 - 3100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other:,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rat, Guideline: OECD Guideline 401 (Acute Oral Toxicity)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rabbit, Guideline: OECD Guideline 402 (Acute Dermal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010A818" w14:textId="78B4B17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428FA57" w14:textId="77777777" w:rsidTr="00E00E0B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2A0D880C" w14:textId="112EF6D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6CC585F5" w14:textId="77777777" w:rsidTr="005C557D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43265E28" w14:textId="5BEC38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C2974" w:rsidRPr="0069446B" w:rsidP="005C557D" w14:paraId="31F7069D" w14:textId="4EE742A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A7593A" w:rsidRPr="0069446B" w:rsidP="009215A8" w14:paraId="569A14D6" w14:textId="6455FAA7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4FDDC6C4" w14:textId="77777777" w:rsidTr="006839F4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7593A" w:rsidRPr="0069446B" w:rsidP="00A7593A" w14:paraId="701E277D" w14:textId="15263CC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8CDE2D1" w14:textId="77777777" w:rsidTr="006839F4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0CE292D2" w14:textId="39ADD68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pH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35C93" w:rsidRPr="0069446B" w:rsidP="00135C93" w14:paraId="6B272BF2" w14:textId="52E8F02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  <w:lang w:eastAsia="ja-JP"/>
              </w:rPr>
              <w:t>5,44 Temp.: 30 °C Concentration: 1 other</w:t>
            </w:r>
            <w:r w:rsidRPr="0069446B">
              <w:rPr>
                <w:rFonts w:hint="eastAsia"/>
                <w:noProof/>
                <w:lang w:eastAsia="ja-JP"/>
              </w:rPr>
              <w:t>: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750 mg/kg masy ciała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422 (Combined Repeated Dose Toxicity Study with the Reproduction / Developmental Toxicity Screening Test),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masy ciała Animal: rat, Animal sex: male, Guideline: OECD Guideline 408 (Repeated Dose 90-Day Oral Toxicity Study in Rodents)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 mg/kg masy ciała Animal: rat,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C0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46,9 mg/kg masy ciała Animal: rat</w:t>
            </w:r>
          </w:p>
        </w:tc>
      </w:tr>
      <w:tr w14:paraId="1DE6168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E7C06A1" w14:textId="0EA9F377">
            <w:pPr>
              <w:pStyle w:val="SDSTableTextNormal"/>
              <w:rPr>
                <w:noProof w:val="0"/>
                <w:lang w:val="de-DE"/>
              </w:rPr>
            </w:pPr>
            <w:r w:rsidRPr="0069446B">
              <w:rPr>
                <w:noProof/>
                <w:lang w:val="de-DE"/>
              </w:rPr>
              <w:t>NOAEC (inhalacja, szczur, pył/mgła/dym,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1724A9" w14:textId="17F52C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0,249 mg/l air Animal: rat, Guideline: OECD Guideline 412 (Subacute Inhalation Toxicity: 28-Day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80 mg/kg masy ciała Animal: rat, Guideline: OECD Guideline 408 (Repeated Dose 90-Day Oral Toxicity Study in Rodents)</w:t>
            </w:r>
          </w:p>
        </w:tc>
      </w:tr>
      <w:tr w14:paraId="32F42FC1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224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 xml:space="preserve">38,25 mm²/s Temp.: '20°C' </w:t>
            </w:r>
            <w:r w:rsidRPr="0069446B">
              <w:rPr>
                <w:rFonts w:hint="eastAsia"/>
                <w:noProof/>
                <w:lang w:eastAsia="ja-JP"/>
              </w:rPr>
              <w:t>Parameter: 'kinematic viscosity (in mm²/s)'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13,3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25,1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2,5 mg/l Test organisms (species): Cyprinus carpio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52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10,9 mg/l Test organisms (species): Oncorhynchus mykiss (previous name: Salmo gairdneri)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0,357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0,61 mg/l Test organisms (species): Desmodesmus subspicatus (previous name: Scenedesmus subspicatus)</w:t>
            </w:r>
          </w:p>
        </w:tc>
      </w:tr>
      <w:tr w14:paraId="14947BF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 mg/l Test organisms (species): Pimephales promelas</w:t>
            </w:r>
          </w:p>
        </w:tc>
      </w:tr>
      <w:tr w14:paraId="7D93309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 mg/l Test organisms (species): Pimephales promelas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0,86 mg/l Test organisms (species): Daphnia magna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2,8 mg/l Test organisms (species): Raphidocelis subcapitata (previous names: Pseudokirchneriella subcapitata, Selenastrum capricornutum)</w:t>
            </w:r>
          </w:p>
        </w:tc>
      </w:tr>
      <w:tr w14:paraId="2AED0D7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4,3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0,087 mg/l Test organisms (species): Daphnia magna Duration: '21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224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3,7-dimethylnona-1,6-dien-3-ol (10339-55-6)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piperonal (120-57-0)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alpha-iso-methylionone (127-51-5)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hexyl salicylate (6259-76-3)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acetyl cedrene (32388-55-9)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Opis dokumentu przewozowego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MARINE POLLUTANT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Oznaczenie substancji niebezpiecznej dla środowiska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Oznaczenie substancji niebezpiecznej dla środowiska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Oznaczenie substancji niebezpiecznej dla środowiska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Oznaczenie substancji niebezpiecznej dla środowiska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Oznaczenie substancji niebezpiecznej dla środowiska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Zanieczyszczenia morskie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(Ogień)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Nr EmS (Rozlanie)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Produkt niebezpieczny dla środowiska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Tak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ograniczone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szczególne pakowania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Przepisy dotyczące pakowania razem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dla cystern przenośnych i kontenerów do przewozu luzem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Kod cysterny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Pojazd do przewozu cystern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transportowa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- Sztuki przesyłki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Przepisy szczególne dotyczące przewozu - Przewóz luzem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przewozu – Załadunek, rozładunek i manipulowanie ładunkiem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rozpoznawczy zagrożenia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Pomarańczowe tabliczki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omarańczowe tabliczk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Kod ograniczeń przewozu przez tunele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Przepisy szczególne dotyczące opakowania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pakowania w kontenerach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IBC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cystern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dot. zbiorników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rozmieszczenia ładunku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Przechowywanie i postępowanie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ilości wyjąwszy samoloty pasażerskie i towarowe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Ilości ograniczone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 przypadku ograniczonej ilości dla samolotów pasażerskich i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dot. opakowania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Maksymalna ilość netto wyłącznie dla samolotów towarowych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ERG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Kod klasyfikacyjny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Przewóz jest dozwolony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Wymagane wyposażenie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Liczba niebieskich stożków/świateł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wymagania/Uwagi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klasyfikacyjny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Ograniczone ilości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Ilości wyłączone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Przepisy szczególne dotyczące opakowania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Specjalne przepisy związane z opakowaniem razem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Instrukcje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specjalne, dotyczące ruchomych cystern oraz pojemników na odpady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Kody cysterny dotyczące cystern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transportu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paczki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produkty luzem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Zalecenia specjalne dotyczące transportu – ładowania wyładowywania i obsługiwania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Przesyłki ekspresowe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Nr identyfikacyjny zagrożenia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alpha-iso-methylionone ; benzyl acetate ; alpha-pinene ; d-limonene ; hexyl salicylate ; 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3,7-dimethylnona-1,6-dien-3-ol ; linalyl acetate ; alpha-iso-methylionone ; linalool ; alpha-pinene ; d-limonene ; hexyl salicylate ; acetyl cedrene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Zawiera substancję(-e) wymienioną(-e)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tbl>
      <w:tblPr>
        <w:tblStyle w:val="SDSTableWithBordersWithHeaderRow"/>
        <w:tblW w:w="10490" w:type="dxa"/>
        <w:tblLayout w:type="fixed"/>
        <w:tblLook w:val="04A0"/>
      </w:tblPr>
      <w:tblGrid>
        <w:gridCol w:w="2267"/>
        <w:gridCol w:w="1275"/>
        <w:gridCol w:w="1276"/>
        <w:gridCol w:w="1418"/>
        <w:gridCol w:w="1418"/>
        <w:gridCol w:w="1418"/>
        <w:gridCol w:w="1418"/>
      </w:tblGrid>
      <w:tr w14:paraId="0B83201E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D104D90" w14:textId="15A02BD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57C5252" w14:textId="5225E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Oznaczenie CN</w:t>
            </w: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D6EF8CB" w14:textId="6606C84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Numer CAS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54B57E4" w14:textId="78E35A9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CN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96366" w:rsidRPr="0069446B" w:rsidP="00E96366" w14:paraId="53D256F7" w14:textId="6CCA77A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Kategoria,</w:t>
            </w:r>
          </w:p>
          <w:p w:rsidR="00A65092" w:rsidRPr="0069446B" w:rsidP="00E96366" w14:paraId="26779EFF" w14:textId="63E11907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Podkategoria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61B55F5" w14:textId="24B2F796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Próg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BD701E" w14:textId="65E28E5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ZAŁĄCZNIK</w:t>
            </w:r>
          </w:p>
        </w:tc>
      </w:tr>
      <w:tr w14:paraId="23D538E0" w14:textId="77777777" w:rsidTr="005C557D">
        <w:tblPrEx>
          <w:tblW w:w="10490" w:type="dxa"/>
          <w:tblLayout w:type="fixed"/>
          <w:tblLook w:val="04A0"/>
        </w:tblPrEx>
        <w:tc>
          <w:tcPr>
            <w:tcW w:w="226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073E40F" w14:textId="559D260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Piperonal</w:t>
            </w:r>
          </w:p>
        </w:tc>
        <w:tc>
          <w:tcPr>
            <w:tcW w:w="127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900E007" w14:textId="26A7BDBB">
            <w:pPr>
              <w:pStyle w:val="SDSTableTextNormal"/>
              <w:rPr>
                <w:noProof w:val="0"/>
              </w:rPr>
            </w:pPr>
          </w:p>
        </w:tc>
        <w:tc>
          <w:tcPr>
            <w:tcW w:w="127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19F3871" w14:textId="44E2230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120-57-0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04454755" w14:textId="57B7AB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2932 93 00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0CE3A27" w14:textId="126BB86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1</w:t>
            </w: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99E5CD" w14:textId="1DED112B">
            <w:pPr>
              <w:pStyle w:val="SDSTableTextNormal"/>
              <w:rPr>
                <w:noProof w:val="0"/>
              </w:rPr>
            </w:pPr>
          </w:p>
        </w:tc>
        <w:tc>
          <w:tcPr>
            <w:tcW w:w="14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511B839" w14:textId="55BB0BA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ZAŁĄCZNIK I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RE Niesklasyfikowane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(narażenie powtarzane) Nie sklasyfikowany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dziecko w łonie matki.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17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224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224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28.09.2026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50C104-FA02-421C-8D3E-0C29B94830E1}"/>
</file>

<file path=customXml/itemProps3.xml><?xml version="1.0" encoding="utf-8"?>
<ds:datastoreItem xmlns:ds="http://schemas.openxmlformats.org/officeDocument/2006/customXml" ds:itemID="{2D4FD7EA-F2CE-4BBA-9C88-F1040E430A5A}"/>
</file>

<file path=customXml/itemProps4.xml><?xml version="1.0" encoding="utf-8"?>
<ds:datastoreItem xmlns:ds="http://schemas.openxmlformats.org/officeDocument/2006/customXml" ds:itemID="{E230BC5D-E917-48AF-8AF2-6534FBDC74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17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