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210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pentadecan-15-olide, coumarin.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7,194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EE8DAF" w14:textId="7F7C89E0">
            <w:pPr>
              <w:pStyle w:val="SDSTableTextNormal"/>
              <w:rPr>
                <w:noProof w:val="0"/>
                <w:lang w:val="fr-BE"/>
              </w:rPr>
            </w:pP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63500-71-0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405-040-6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603-101-00-3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pentadecan-15-olide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106-02-5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203-354-6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Wanilia. Owocowy. Gourmand. Orientalny. balsamiczny.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 xml:space="preserve"> (63500-71-0)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EU Method B.1 (Acute Toxicity (Oral)), Guideline: OECD Guideline 401 (Acute Oral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EU Method B.1 tris (Acute Oral Toxicity - Acute Toxic Class Method),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EU Method B.3 (Acute Toxicity (Dermal)),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 xml:space="preserve"> (63500-71-0)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125 mg/kg masy ciała Animal: rat, Guideline: OECD Guideline 407 (Repeated Dose 28-Day Oral Toxicity Study in Rodents)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411 (Subchronic Dermal Toxicity: 90-Day Study), Guideline: EU Method B.28 (Sub-Chronic Dermal Toxicity Test: 90-Day Repeated Dermal Dose Study Using Rodent Species)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≥ 1000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210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 xml:space="preserve"> (63500-71-0)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320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0,797 mg/l Test organisms (species): Oncorhynchus mykiss (previous name: Salmo gairdneri)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0,17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0,4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0,47 mg/l Test organisms (species): Desmodesmus subspicatus (previous name: Scenedesmus subspicatus)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0,127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0,027 mg/l Test organisms (species): Pimephales promelas Duration: '33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210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 xml:space="preserve"> (63500-71-0)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Nie zawiera substancji wymienionych w załączniku XVII do rozporządzenia REACH (warunki ograniczeń)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pentadecan-15-olide, coumarin.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28.07.2026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28.07.2026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210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210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28.07.2026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4FCA58-395E-416D-B0FA-BE1A6E7F1FEA}"/>
</file>

<file path=customXml/itemProps3.xml><?xml version="1.0" encoding="utf-8"?>
<ds:datastoreItem xmlns:ds="http://schemas.openxmlformats.org/officeDocument/2006/customXml" ds:itemID="{6AF6E339-3377-4C69-A65A-12E5A4BB9F65}"/>
</file>

<file path=customXml/itemProps4.xml><?xml version="1.0" encoding="utf-8"?>
<ds:datastoreItem xmlns:ds="http://schemas.openxmlformats.org/officeDocument/2006/customXml" ds:itemID="{A7B19660-9167-4D13-BB64-EAC5560683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