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106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  <w:br/>
              <w:t>P101 - W przypadku konsultacji z lekarzem należy mieć pod ręką pojemnik lub etykietę.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geraniol; (2E)-3,7-dimetylokta-2,6-dien-1-ol, α-hexylcinnamaldehyde, linalool, benzyl salicylate, 1-(1,2,3,4,5,6,7,8-octahydro-2,3,8,8-tetramethyl-2-naphthyl)ethan-1-one.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0,616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0,1106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0,0196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Drewniany. Kwiatowy. Skóra.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106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106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linalool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geraniol; (2E)-3,7-dimetylokta-2,6-dien-1-ol, α-hexylcinnamaldehyde, linalool, benzyl salicylate, 1-(1,2,3,4,5,6,7,8-octahydro-2,3,8,8-tetramethyl-2-naphthyl)ethan-1-one.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106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106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17.07.2026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8A0697-3350-4398-A95B-32EDA23B1291}"/>
</file>

<file path=customXml/itemProps3.xml><?xml version="1.0" encoding="utf-8"?>
<ds:datastoreItem xmlns:ds="http://schemas.openxmlformats.org/officeDocument/2006/customXml" ds:itemID="{F244D187-7A3C-45BD-A135-6F0E9A6154CF}"/>
</file>

<file path=customXml/itemProps4.xml><?xml version="1.0" encoding="utf-8"?>
<ds:datastoreItem xmlns:ds="http://schemas.openxmlformats.org/officeDocument/2006/customXml" ds:itemID="{98773D87-51EF-4E37-8580-4BF7949BCB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