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102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HEXYL CINNAMAL, METHYL IONONES, TETRAMETHYL ACETYLOCTAHYDRONAPHTHALENES,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0,6363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0,6363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0,3192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0,1043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102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102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p w:rsidR="00A65092" w:rsidRPr="0069446B" w:rsidP="00A65092" w14:paraId="1965DBDA" w14:textId="0FFE3A91">
      <w:pPr>
        <w:pStyle w:val="SDSTextNormal"/>
      </w:pPr>
      <w:r>
        <w:rPr>
          <w:noProof/>
        </w:rPr>
        <w:t>Nie zawiera substancji wymienionych w załączniku XVII do rozporządzenia REACH (warunki ograniczeń)</w:t>
      </w:r>
    </w:p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HEXYL CINNAMAL, METHYL IONONES, TETRAMETHYL ACETYLOCTAHYDRONAPHTHALENES, 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102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102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62B9D3-47DC-4413-92E1-3131B6EB2062}"/>
</file>

<file path=customXml/itemProps3.xml><?xml version="1.0" encoding="utf-8"?>
<ds:datastoreItem xmlns:ds="http://schemas.openxmlformats.org/officeDocument/2006/customXml" ds:itemID="{AEB02727-E031-4624-A8F8-1A4A5C771567}"/>
</file>

<file path=customXml/itemProps4.xml><?xml version="1.0" encoding="utf-8"?>
<ds:datastoreItem xmlns:ds="http://schemas.openxmlformats.org/officeDocument/2006/customXml" ds:itemID="{541741C2-F8DA-42A0-B127-FA8B2EF944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