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Cocktail fruitél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Trzymać z dala od dzieci.</w:t>
              <w:br/>
              <w:t>P101 - W przypadku konsultacji z lekarzem należy mieć pod ręką pojemnik lub etykietę.</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TETRAMETHYL ACETYLOCTAHYDRONAPHTHALENES, linalool.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Owocowy.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masy ciała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Cocktail fruitél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TETRAMETHYL ACETYLOCTAHYDRONAPHTHALENES, linalool.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Cocktail fruitél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Cocktail fruitél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8.09.2026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2302570-6B88-4149-A3BA-DD0446C035D0}"/>
</file>

<file path=customXml/itemProps3.xml><?xml version="1.0" encoding="utf-8"?>
<ds:datastoreItem xmlns:ds="http://schemas.openxmlformats.org/officeDocument/2006/customXml" ds:itemID="{01B4D880-FA03-457F-80B9-761565CC0370}"/>
</file>

<file path=customXml/itemProps4.xml><?xml version="1.0" encoding="utf-8"?>
<ds:datastoreItem xmlns:ds="http://schemas.openxmlformats.org/officeDocument/2006/customXml" ds:itemID="{E39137C1-1057-453D-ACEB-8CFB079C1CFE}"/>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