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Lilas świeca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cinnamyl alcohol; 7-hydroxycitronellal; cis-4-(isopropyl)cyclohexanemethanol; linalool; isoeugenol; cinnamaldehyde; p-tolylacetaldehyde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2-phenylethanol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60-12-8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200-456-2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(ATE=1610 mg/kg)</w:t>
              <w:br/>
              <w:t>Eye Irrit. 2, H319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(ATE=2000 mg/kg masy ciała)</w:t>
              <w:br/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cis-4-(isopropyl)cyclohexanemethanol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13828-37-0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237-539-8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Acute Tox. 4 (Skórne), H312 (ATE=1100 mg/kg masy ciała)</w:t>
              <w:br/>
              <w:t>Acute Tox. 4 (Poprzez wdychanie),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p-tolylacetaldehyde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104-09-6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203-173-2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Acute 1, H400</w:t>
              <w:br/>
              <w:t>Aquatic Chronic 2, H411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Proszkowany.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F45D1B8" w14:textId="6C4876BB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2535 mg/kg masy ciała Animal: rabbit, Guideline: OECD Guideline 402 (Acute Dermal Toxicity), 95% CL: 1769 - 3634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4,63 mg/l air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7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podrażnienie dróg oddechowych.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510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Lilas świeca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215 – 464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287,17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Lilas świeca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cis-4-(isopropyl)cyclohexanemethanol (13828-37-0)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p-tolylacetaldehyde (104-09-6)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2-phenylethanol ; cinnamyl alcohol ; 7-hydroxycitronellal ; anisaldehyde ; linalool ; isoeugenol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cinnamyl alcohol ; anisaldehyde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drażniące na drogi oddechowe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podrażnienie dróg oddechowych.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14.04.2026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14.04.2026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Lilas świeca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Lilas świeca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14.04.2026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CE8019-A90C-44C9-8C5F-4889EE9CB84F}"/>
</file>

<file path=customXml/itemProps3.xml><?xml version="1.0" encoding="utf-8"?>
<ds:datastoreItem xmlns:ds="http://schemas.openxmlformats.org/officeDocument/2006/customXml" ds:itemID="{9FEDA643-EBF4-4059-802F-9E642CD54935}"/>
</file>

<file path=customXml/itemProps4.xml><?xml version="1.0" encoding="utf-8"?>
<ds:datastoreItem xmlns:ds="http://schemas.openxmlformats.org/officeDocument/2006/customXml" ds:itemID="{2BE5CD1F-A81D-479C-86A2-F200EA81F2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