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Fleur de sakura candle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α-hexylcinnamaldehyde; 7-hydroxycitronellal; linalyl acetate; linalool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  <w:br/>
              <w:t>P302+P352 - W PRZYPADKU KONTAKTU ZE SKÓRĄ: Dokładnie umyć wody.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temperaturze pokojowej i z dala od wszelkich źródeł ciepła.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Green. Kwiatowy. Honeydew.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Fleur de sakura candle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Fleur de sakura candle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7-hydroxycitronellal ; linalyl acetate ; 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4.05.2026 (Data aktualizacji)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4.05.2026 (Data aktualizacji)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Fleur de sakura candle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Fleur de sakura candle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4.05.2026   Data aktualizacji: 4.05.2026   Zastępuje wersję z dn.: 4.05.2026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BF5361-CFC3-4D47-8EA9-BD6937B58057}"/>
</file>

<file path=customXml/itemProps3.xml><?xml version="1.0" encoding="utf-8"?>
<ds:datastoreItem xmlns:ds="http://schemas.openxmlformats.org/officeDocument/2006/customXml" ds:itemID="{FF31A6DC-EFD2-46F6-B197-02ABBBD9304C}"/>
</file>

<file path=customXml/itemProps4.xml><?xml version="1.0" encoding="utf-8"?>
<ds:datastoreItem xmlns:ds="http://schemas.openxmlformats.org/officeDocument/2006/customXml" ds:itemID="{6373E93F-8E74-4288-83D1-FA9D54C745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