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Aromatyczna mgła - cannelle orange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Aromatyczna mgiełka przeznaczona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Oils, guaiacwood, acetates; 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(Doustne), H302 (ATE=1580 mg/kg masy ciała)</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Oils, guaiacwood, acetates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61789-17-1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630-481-8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1A,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3,7-Dimetylookta-2,6-dienal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27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54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Pikantny.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citral (5392-40-5)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 6800 mg/kg masy ciała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masy ciała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(przewlekłe, doustnie, zwierzę/samiec, 2 lata)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masy ciała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masy ciała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citral (5392-40-5)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6,78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6,8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Aromatyczna mgła - cannelle orange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Oils, guaiacwood, acetates (61789-17-1)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Aromatyczna mgła - cannelle orange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Aromatyczna mgła - cannelle orange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2.10.2026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1279944-ADA1-4764-9145-422FA27AAF9A}"/>
</file>

<file path=customXml/itemProps3.xml><?xml version="1.0" encoding="utf-8"?>
<ds:datastoreItem xmlns:ds="http://schemas.openxmlformats.org/officeDocument/2006/customXml" ds:itemID="{137069CA-CA84-4183-BA84-FA733E7B6C60}"/>
</file>

<file path=customXml/itemProps4.xml><?xml version="1.0" encoding="utf-8"?>
<ds:datastoreItem xmlns:ds="http://schemas.openxmlformats.org/officeDocument/2006/customXml" ds:itemID="{E49F61C6-C5B6-4307-B004-CD6360C788F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