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mgiełka - Pomme d'amour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P302+P352 - W PRZYPADKU KONTAKTU ZE SKÓRĄ: Dokładnie umyć wody z mydłem.</w:t>
              <w:br/>
              <w:t>P333+P313 - W przypadku podrażnienia lub wysypki skórnej: skonsultować się z lekarzem.</w:t>
              <w:br/>
              <w:t>P501 - Zawartość i pojemnik usuwać do centrum sortowania, zgodnie z lokalnymi przepisami.</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Aromatyczna mgiełka - Pomme d'amour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Aromatyczna mgiełka - Pomme d'amour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Aromatyczna mgiełka - Pomme d'amour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2.10.2026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BC1C169-415A-4936-A98F-909EF6D93557}"/>
</file>

<file path=customXml/itemProps3.xml><?xml version="1.0" encoding="utf-8"?>
<ds:datastoreItem xmlns:ds="http://schemas.openxmlformats.org/officeDocument/2006/customXml" ds:itemID="{3579FA62-10CA-463F-A0B8-8B72D9B2C4EE}"/>
</file>

<file path=customXml/itemProps4.xml><?xml version="1.0" encoding="utf-8"?>
<ds:datastoreItem xmlns:ds="http://schemas.openxmlformats.org/officeDocument/2006/customXml" ds:itemID="{CDE48661-5056-4EFA-A223-A44E434C3F7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