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Ricarica per diffusore - malagasy wood</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3VP1-C0TN-T00X-NGSA</w:t>
            </w:r>
          </w:p>
        </w:tc>
      </w:tr>
      <w:tr w14:paraId="20BE6DFA"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12B46AA9" w14:textId="1C02B377">
            <w:pPr>
              <w:pStyle w:val="SDSTableTextNormal"/>
              <w:rPr>
                <w:noProof w:val="0"/>
              </w:rPr>
            </w:pPr>
            <w:r w:rsidRPr="0069446B" w:rsidR="00FA7F7F">
              <w:rPr>
                <w:noProof/>
              </w:rPr>
              <w:t>Codice del prodotto</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2E6C7FF5"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13759414" w14:textId="54F86E0C">
            <w:pPr>
              <w:pStyle w:val="SDSTableTextNormal"/>
              <w:rPr>
                <w:noProof w:val="0"/>
              </w:rPr>
            </w:pPr>
            <w:r w:rsidRPr="0069446B" w:rsidR="00FA7F7F">
              <w:rPr>
                <w:noProof/>
              </w:rPr>
              <w:t>PC-2305587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Ricarica per diffusore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Liquidi infiammabili,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H226</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Gravi lesioni oculari/irritazione oculare, categoria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8"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Pericoloso per l’ambiente acquatico – Pericolo cronico,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Liquido e vapori infiammabili. Provoca grave irritazione oculare. Nocivo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GHS02</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H226 - Liquido e vapori infiammabili.</w:t>
              <w:br/>
              <w:t>H319 - Provoca grave irritazione oculare.</w:t>
              <w:br/>
              <w:t>H412 - Nocivo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P210 - Tenere lontano da fonti di calore, superfici calde, scintille, fiamme libere o altre fonti di accensione. Non fumare.</w:t>
              <w:br/>
              <w:t>P273 - Non disperdere nell’ambiente.</w:t>
              <w:br/>
              <w:t>P337+P313 - Se l’irritazione degli occhi persiste, consultare un medico.</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BENZYL ALCOHOL, ACETYL CEDRENE, linalool, TETRAMETHYL ACETYLOCTAHYDRONAPHTHALENES, ISOEUGENOL.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Componente</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Sostanza(e) che non soddisfa(no) i criteri PBT del regolamento REACH, in conformità all'Allegato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Sostanza(e) che non soddisfa(no) i criteri vPvB del REACH, in conformità all'Allegato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ethanol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64-17-5</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200-578-6</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603-002-00-5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74,984 – 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2, H225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1,4-dioxacycloheptadecane-5,17-dione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105-95-3</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216-133-4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2,4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120-51-4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204-402-9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Oxacyclohexadecen-2-one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34902-57-3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Alcool benzylique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(ATE=1580 mg/kg di peso corporeo)</w:t>
              <w:br/>
              <w:t>Acute Tox. 4 (per inalazione), H332 (ATE=1,5 mg/l/4h)</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acetyl 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32388-55-9</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251-020-3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214-946-9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0,00345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Acute Tox. 4 (per via cutanea), H312 (ATE=1100 mg/kg di peso corporeo)</w:t>
              <w:br/>
              <w:t>Acute Tox. 4 (per inalazione), H332 (ATE=1,5 mg/l/4h)</w:t>
              <w:br/>
              <w:t>Skin Irrit. 2, H315</w:t>
              <w:br/>
              <w:t>Eye Irrit. 2, H319</w:t>
              <w:br/>
              <w:t>Skin Sens. 1A, H317</w:t>
              <w:br/>
              <w:t>STOT SE 3, H335</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Limiti di concentrazione specifici</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Identificatore del prodotto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Limiti di concentrazione specifici</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97-54-1</w:t>
            </w:r>
          </w:p>
          <w:p w:rsidR="00827634" w:rsidRPr="0069446B" w:rsidP="009B0F88" w14:paraId="11520CA5"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202-590-7</w:t>
            </w:r>
          </w:p>
          <w:p w:rsidR="00827634" w:rsidRPr="0069446B" w:rsidP="009B0F88" w14:paraId="13BBD3FC"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Sciacquare la pelle/fare una doccia. Togliere immediatamente tutti gli indumenti contaminati.</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Sciacquare accuratamente per parecchi minuti. Togliere le eventuali lenti a contatto se è agevole farlo. Continuare a sciacquare. Se l’irritazione degli occhi persiste, consultare un medico.</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Nessuno(a) in condizioni normali.</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Nessuno(a) in condizioni normali.</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Irritazione degli occhi.</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Acqua nebulizzata. Polvere secca. Schiuma. Anidride carbonica.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Liquido e vapori infiammabili.</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Bloccare la perdita se non c’è pericolo. 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Nessuna fiamma libera, nessuna scintilla e non fumare. Evitare il contatto con gli occhi e con la pelle.</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Allontanare il personale non necessario. Bloccare la perdita se non c’è pericolo.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Assorbire ogni prodotto fuoriuscito con sabbia o terra. Trattenere eventuali fuoriuscite con argini o assorbenti per evitare dispersioni o penetrazioni nelle fogne o nei corsi d’acqua. Bloccare la fuoruscita, se possibile senza rischi.</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Pr>
                <w:noProof/>
                <w:lang w:val="fr-BE"/>
              </w:rPr>
              <w:t>Assorbire il liquido fuoriuscito con materiale assorbente. Informare le autorità se il prodotto viene immesso nella rete fognaria o in acque pubbliche.</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Tenere lontano da fonti di calore, superfici calde, scintille, fiamme libere o altre fonti di accensione. Non fumare. Mettere a terra/massa il contenitore e il dispositivo ricevente. Utilizzare solo utensili antiscintillamento. Prendere precauzioni contro le scariche elettrostatiche. Vapori infiammabili possono raccogliersi nel contenitore. Utilizzare un apparecchio antideflagrante. Indossare un dispositivo di protezione individuale. Evitare il contatto con gli occhi e con la pelle.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Mettere a terra/massa il contenitore e il dispositivo ricevente.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Conservare in luogo ben ventilato. Conservare in luogo fresco. Tenere il recipiente ben chiuso.</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Dispositivi di protezione individuale</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Dispositivi di protezione individuale</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Indossare i dispositivi di protezione individuale raccomandati.</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Simbolo(i) Dispositivi di Protezione Individuale</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5" name="" descr="Guanti di protez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Occhiali di sicurez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9" name="" descr="Usare indumenti protettivi adat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Pr>
          <w:noProof/>
          <w:color w:val="auto"/>
          <w:lang w:val="en-US"/>
        </w:rPr>
        <w:t>Protezione degli occhi e del volto</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Protezione degli occhi</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Occhiali di sicurezza</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Protezione della pelle</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Pr>
                <w:noProof/>
              </w:rPr>
              <w:t>Protezione della pelle e del corpo</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Usare indumenti protettivi adatti</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Protezione delle mani</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Guanti di protezione</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Protezione respiratoria</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Protezione respiratoria</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In caso di ventilazione insufficiente, usare un apparecchio respiratorio adatto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Incolore.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Ambra. Legnoso.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Non disponibile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Liquido e vapori infiammabili.</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Non disponibile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Non disponibile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40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Non disponibile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5,4</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DF70CE" w:rsidRPr="0069446B" w:rsidP="00ED641D" w14:paraId="22E7C24B" w14:textId="6C6BEAE6">
            <w:pPr>
              <w:pStyle w:val="SDSTableTextNormal"/>
              <w:rPr>
                <w:noProof w:val="0"/>
              </w:rPr>
            </w:pPr>
            <w:r w:rsidRPr="0069446B">
              <w:rPr>
                <w:noProof/>
              </w:rPr>
              <w:t>concentrazione della soluzione per il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C32BE1" w:rsidRPr="0069446B" w:rsidP="00ED641D" w14:paraId="0BEF5F4B" w14:textId="797690C6">
            <w:pPr>
              <w:pStyle w:val="SDSTableTextNormal"/>
              <w:rPr>
                <w:noProof w:val="0"/>
              </w:rPr>
            </w:pPr>
            <w:r w:rsidRPr="0069446B" w:rsidR="00FA7F7F">
              <w:rPr>
                <w:noProof/>
              </w:rPr>
              <w:t>100 %</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Non disponibile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0,8302</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Non disponibile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Caratteristiche delle particelle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sidRPr="0069446B">
        <w:rPr>
          <w:noProof/>
        </w:rPr>
        <w:t>Liquido e vapori infiammabili.</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Evitare il contatto con superfici calde. Calore. Nessuna fiamma, nessuna scintilla. Eliminare ogni sorgente d’ignizione.</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ethanol (64-17-5)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15010 mg/kg di peso corporeo Animal: rat, Animal sex: female, Guideline: OECD Guideline 401 (Acute Oral Toxicity), 95% CL: 14450 - 15560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8300 mg/kg di peso corporeo Animal: mouse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1,3,4,6,7,8-hexahydro-4,6,6,7,8,8-hexamethylindeno[5,6-c]pyran (1222-05-5)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1,4-dioxacycloheptadecane-5,17-dione (105-95-3)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di peso corporeo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Alcool benzylique (100-51-6)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di peso corporeo Animal: mouse, Guideline: OECD Guideline 401 (Acute Oral Toxicity), 95% CL: 1410 - 1770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di peso corporeo Animal: rabbit, Guideline: EPA OTS 798.1100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acetyl cedrene (32388-55-9)</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di peso corporeo Animal: rat, Guideline: OECD Guideline 401 (Acute Oral Toxicity), 95% CL: 2440 - 3180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di peso corporeo Animal: mouse, Guideline: OECD Guideline 401 (Acute Oral Toxicity), 95% CL: 2620 - 3620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di peso corporeo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5,4</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Provoca grave irritazione oculare.</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5,4</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Tossicità specifica per organi bersaglio (STOT) — esposizione singola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Può irritare le vie respiratorie.</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ethanol (64-17-5)</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(subcronica,orale,animale/maschio,90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&lt; 9700 mg/kg di peso corporeo Animal: mouse, Animal sex: male, Guideline: EPA OPPTS 870.3100 (90-Day Oral Toxicity in Rodents)</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9400 mg/kg di peso corporeo Animal: mouse, Animal sex: female, Guideline: EPA OPPTS 870.3100 (90-Day Oral Toxicity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1,4-dioxacycloheptadecane-5,17-dione (105-95-3)</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benzoate (120-51-4)</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781 mg/kg di peso corporeo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Alcool benzylique (100-51-6)</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di peso corporeo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acetyl cedrene (32388-55-9)</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80 mg/kg di peso corporeo Animal: rat, Guideline: OECD Guideline 408 (Repeated Dose 90-Day Oral Toxicity Study in Rodents)</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300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Alcool benzylique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acetyl cedrene (32388-55-9)</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 xml:space="preserve">38,25 mm²/s Temp.: '20°C'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Informazioni su altri pericoli</w:t>
      </w:r>
      <w:bookmarkEnd w:id="3"/>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Nocivo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ethanol (64-17-5)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14,2 g/l Test organisms (species): Pimephales promelas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9,6 mg/l Test organisms (species): Daphnia magna Duration: '9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1,3,4,6,7,8-hexahydro-4,6,6,7,8,8-hexamethylindeno[5,6-c]pyran (1222-05-5)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0,95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0,194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1,4-dioxacycloheptadecane-5,17-dione (105-95-3)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1,23 mg/l Test organisms (species): Danio rerio (previous name: Brachydanio rerio)</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2,13 mg/l Test organisms (species): Danio rerio (previous name: Brachydanio rerio)</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6,94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14,579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0,788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2,32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Alcool benzylique (100-51-6)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acetyl cedrene (32388-55-9)</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 mg/l Test organisms (species): Pimephales promelas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3 mg/l Test organisms (species): Pimephales promelas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0,86 mg/l Test organisms (species): Daphnia magna</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2,8 mg/l Test organisms (species): Raphidocelis subcapitata (previous names: Pseudokirchneriella subcapitata, Selenastrum capricornutum)</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&gt; 4,3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0,23 mg/l Test organisms (species): Daphnia magna Duration: '21 d'</w:t>
            </w:r>
          </w:p>
        </w:tc>
      </w:tr>
      <w:tr w14:paraId="4F2507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0,087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Ricarica per diffusore - malagasy wood</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ethanol (64-17-5)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Oxacyclohexadecen-2-one (34902-57-3)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1,4-dioxacycloheptadecane-5,17-dione (105-95-3)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Alcool benzylique (100-51-6)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acetyl cedrene (32388-55-9)</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Componente</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Sostanza(e) che non soddisfa(no) i criteri PBT del regolamento REACH, in conformità all'Allegato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Sostanza(e) che non soddisfa(no) i criteri vPvB del REACH, in conformità all'Allegato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4"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Pr>
                <w:noProof/>
              </w:rPr>
              <w:t>Vapori infiammabili possono raccogliersi nel contenitore. 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 xml:space="preserve">HP3 - “Infiammabile”: </w:t>
              <w:br/>
              <w:t xml:space="preserve">– rifiuto liquido infiammabile: rifiuto liquido il cui punto di infiammabilità è inferiore a 60 °C oppure rifiuto di gasolio, carburanti diesel e oli da riscaldamento leggeri il cui punto di infiammabilità è superiore a 55 °C e inferiore o pari a 75 °C; </w:t>
              <w:br/>
              <w:t xml:space="preserve">– rifiuto solido e liquido piroforico infiammabile: rifiuto solido o liquido che, anche in piccole quantità, può infiammarsi in meno di cinque minuti quando entra in contatto con l’aria; </w:t>
              <w:br/>
              <w:t xml:space="preserve">– rifiuto solido infiammabile: rifiuto solido facilmente infiammabile o che può provocare o favorire un incendio per sfregamento; </w:t>
              <w:br/>
              <w:t xml:space="preserve">– rifiuto gassoso infiammabile: rifiuto gassoso che si infiamma a contatto con l’aria a 20 °C e a pressione normale di 101,3 kPa; </w:t>
              <w:br/>
              <w:t xml:space="preserve">– rifiuto idroreattivo: rifiuto che, a contatto con l’acqua, sviluppa gas infiammabili in quantità pericolose; </w:t>
              <w:br/>
              <w:t>– altri rifiuti infiammabili: aerosol infiammabili, rifiuti autoriscaldanti infiammabili, perossidi organici infiammabili e rifiuti autoreattivi infiammabili.</w:t>
              <w:br/>
              <w:t>HP4 - “Irritante – Irritazione cutanea e lesioni oculari”: rifiuto la cui applicazione può provocare irritazione cutanea o lesioni oculari.</w:t>
              <w:b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ONU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ONU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ONU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ONU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ONU 1170</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ETANOLO IN SOLUZIONE (ALCOL ETILICO IN SOLUZIONE)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sidR="00FA7F7F">
              <w:rPr>
                <w:noProof/>
              </w:rPr>
              <w:t>ETHANOL SOLUTION (ETHYL ALCOHOL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sidR="00FA7F7F">
              <w:rPr>
                <w:noProof/>
              </w:rPr>
              <w:t>Ethanol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ETANOLO IN SOLUZIONE (ALCOL ETILICO IN SOLUZIONE)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ETANOLO IN SOLUZIONE (ALCOL ETILICO IN SOLUZIONE)</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Pr>
                <w:noProof/>
                <w:color w:val="auto"/>
              </w:rPr>
              <w:t>Descrizione del documento di trasporto</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1170 ETANOLO IN SOLUZIONE (ALCOL ETILICO IN SOLUZIONE), 3, III, (D/E)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1170 ETHANOL SOLUTION (ETHYL ALCOHOL SOLUTION), 3, III (40°C c.c.)</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sidR="00FA7F7F">
              <w:rPr>
                <w:noProof/>
              </w:rPr>
              <w:t>UN 1170 Ethanol solution, 3,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1170 ETANOLO IN SOLUZIONE (ALCOL ETILICO IN SOLUZIONE), 3,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1170 ETANOLO IN SOLUZIONE (ALCOL ETILICO IN SOLUZIONE), 3,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3</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11"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13"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5"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19"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No</w:t>
            </w:r>
          </w:p>
          <w:p w:rsidR="00E5555B" w:rsidRPr="0069446B" w:rsidP="00CB352E" w14:paraId="59B4C75B" w14:textId="3A38D38E">
            <w:pPr>
              <w:pStyle w:val="SDSTableTextCentered"/>
              <w:rPr>
                <w:noProof w:val="0"/>
              </w:rPr>
            </w:pPr>
            <w:r w:rsidRPr="0069446B" w:rsidR="00FA7F7F">
              <w:rPr>
                <w:noProof/>
              </w:rPr>
              <w:t>Inquinante marino</w:t>
            </w:r>
            <w:r w:rsidRPr="0069446B">
              <w:rPr>
                <w:noProof w:val="0"/>
              </w:rPr>
              <w:t xml:space="preserve">: </w:t>
            </w:r>
            <w:r w:rsidRPr="0069446B" w:rsidR="00FA7F7F">
              <w:rPr>
                <w:noProof/>
              </w:rPr>
              <w:t>No</w:t>
            </w:r>
          </w:p>
          <w:p w:rsidR="00C93EB0" w:rsidRPr="0069446B" w:rsidP="00C93EB0" w14:paraId="3E1963A9" w14:textId="2D18F11C">
            <w:pPr>
              <w:pStyle w:val="SDSTableTextCentered"/>
              <w:rPr>
                <w:noProof w:val="0"/>
              </w:rPr>
            </w:pPr>
            <w:r w:rsidRPr="0069446B" w:rsidR="00FA7F7F">
              <w:rPr>
                <w:noProof/>
              </w:rPr>
              <w:t>N° EmS (Incendio)</w:t>
            </w:r>
            <w:r w:rsidRPr="0069446B">
              <w:rPr>
                <w:noProof w:val="0"/>
              </w:rPr>
              <w:t xml:space="preserve">: </w:t>
            </w:r>
            <w:r w:rsidRPr="0069446B" w:rsidR="00FA7F7F">
              <w:rPr>
                <w:noProof/>
              </w:rPr>
              <w:t>F-E</w:t>
            </w:r>
          </w:p>
          <w:p w:rsidR="00C93EB0" w:rsidRPr="0069446B" w:rsidP="00C93EB0" w14:paraId="6F11279A" w14:textId="60684061">
            <w:pPr>
              <w:pStyle w:val="SDSTableTextCentered"/>
              <w:rPr>
                <w:noProof w:val="0"/>
              </w:rPr>
            </w:pPr>
            <w:r w:rsidRPr="0069446B" w:rsidR="00FA7F7F">
              <w:rPr>
                <w:noProof/>
              </w:rPr>
              <w:t>N° EmS (Fuoriuscita)</w:t>
            </w:r>
            <w:r w:rsidRPr="0069446B">
              <w:rPr>
                <w:noProof w:val="0"/>
              </w:rPr>
              <w:t xml:space="preserve">: </w:t>
            </w:r>
            <w:r w:rsidRPr="0069446B" w:rsidR="00FA7F7F">
              <w:rPr>
                <w:noProof/>
              </w:rPr>
              <w:t>S-D</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No</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Codice di classificazione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F1</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Disposizioni speciali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144, 601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Quantità limitate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5l</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Quantità esenti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Istruzioni di imballaggio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P001, IBC03, LP01, R001</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Pr>
                <w:noProof/>
                <w:lang w:val="nl-BE"/>
              </w:rPr>
              <w:t>Disposizioni concernenti l’imballaggio in comune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MP19</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Istruzioni di trasporto in cisterne mobili e contenitori per il trasporto alla rinfusa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T2</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Disposizioni speciali relative alle cisterne mobili e contenitori per il trasporto alla rinfusa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TP1</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Codice cisterna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LGBF</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Veicolo per il trasporto in cisterna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FL</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Categoria di trasporto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Disposizioni speciali di trasporto - Colli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V12</w:t>
            </w:r>
          </w:p>
        </w:tc>
      </w:tr>
      <w:tr w14:paraId="100092E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C381AE4" w14:textId="6A4DCC20">
            <w:pPr>
              <w:pStyle w:val="SDSTableTextNormal"/>
              <w:rPr>
                <w:noProof w:val="0"/>
                <w:lang w:val="nl-BE"/>
              </w:rPr>
            </w:pPr>
            <w:r w:rsidRPr="0069446B">
              <w:rPr>
                <w:noProof/>
                <w:lang w:val="nl-BE"/>
              </w:rPr>
              <w:t>Disposizioni speciali di trasporto - Esercizio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F6C6DE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C0FEED" w14:textId="22FC5410">
            <w:pPr>
              <w:pStyle w:val="SDSTableTextNormal"/>
              <w:rPr>
                <w:noProof w:val="0"/>
              </w:rPr>
            </w:pPr>
            <w:r w:rsidRPr="0069446B" w:rsidR="00FA7F7F">
              <w:rPr>
                <w:noProof/>
              </w:rPr>
              <w:t>S2</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Numero d’identificazione del pericolo (n°. Kemler)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30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Pannello arancione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1" name="" descr="Pannello aranc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2"/>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Codice restrizione in galleria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D/E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Disposizioni speciali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144, 223</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Quantità limitate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L</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Quantità esenti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Istruzioni di imballaggio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P001, LP01</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Istruzioni di imballaggio IBC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Istruzioni cisterna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T2</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Disposizioni speciali cisterna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TP1</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Categoria di stivaggio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7DBF7D2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A2CC5BD" w14:textId="22A6CE1F">
            <w:pPr>
              <w:pStyle w:val="SDSTableTextNormal"/>
              <w:rPr>
                <w:noProof w:val="0"/>
              </w:rPr>
            </w:pPr>
            <w:r w:rsidRPr="0069446B" w:rsidR="00FA7F7F">
              <w:rPr>
                <w:noProof/>
              </w:rPr>
              <w:t>Proprietà e osservazioni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2AAC9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00AB7B" w14:textId="3F049827">
            <w:pPr>
              <w:pStyle w:val="SDSTableTextNormal"/>
              <w:rPr>
                <w:noProof w:val="0"/>
              </w:rPr>
            </w:pPr>
            <w:r w:rsidRPr="0069446B">
              <w:rPr>
                <w:noProof/>
              </w:rPr>
              <w:t>Colourless, volatile liquids. Pure ETHANOL: flashpoint 13°C c.c. Explosive limits: 3.3% to 19%. Miscible with water.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Quantità esenti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Quantità limitate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Y344</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Quantità nette max. di quantità limitate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10L</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Istruzioni di imballaggio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355</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Quantità nette max. per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60L</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Istruzioni di imballaggio aereo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366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Quantità max. netta aereo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220L</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Disposizioni speciali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A3, A58, A180</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Codice ERG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3L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Codice di classificazione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F1</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Disposizioni speciali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144, 601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Quantità limitate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L</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Quantità esenti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Trasporto consentito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Attrezzatura richiesta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EX, A</w:t>
            </w:r>
          </w:p>
        </w:tc>
      </w:tr>
      <w:tr w14:paraId="684412E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8BD6026" w14:textId="73DD1D54">
            <w:pPr>
              <w:pStyle w:val="SDSTableTextNormal"/>
              <w:rPr>
                <w:noProof w:val="0"/>
              </w:rPr>
            </w:pPr>
            <w:r w:rsidRPr="0069446B" w:rsidR="00FA7F7F">
              <w:rPr>
                <w:noProof/>
              </w:rPr>
              <w:t>Ventilazione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1E90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8C4BC7" w14:textId="7C4C1B85">
            <w:pPr>
              <w:pStyle w:val="SDSTableTextNormal"/>
              <w:rPr>
                <w:noProof w:val="0"/>
              </w:rPr>
            </w:pPr>
            <w:r w:rsidRPr="0069446B" w:rsidR="00FA7F7F">
              <w:rPr>
                <w:noProof/>
              </w:rPr>
              <w:t>VE01</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Numero di coni/semafori blu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Codice di classificazione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F1</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Disposizioni speciali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144, 601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Quantità limitate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5L</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Quantità esenti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Istruzioni di imballaggio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P001, IBC03, LP01, R001</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Disposizioni concernenti l’imballaggio in comune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MP19</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Istruzioni di trasporto in cisterne mobili e container per il trasporto alla rinfusa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T2</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Disposizioni speciali cisterne mobili e contenitori per il trasporto alla rinfusa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TP1</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Codici cisterna per cisterne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LGBF</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Categoria di trasporto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Disposizioni speciali di trasporto - Colli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W12</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Colli express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CE4</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Numero di identificazione del pericolo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30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2-methylpropan-2-ol ; ethanol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2-methylpropan-2-ol ; ethanol ; benzyl benzoate ; Alcool benzylique ; acetyl cedrene ; linalool ; isoeugenol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1,3,4,6,7,8-hexahydro-4,6,6,7,8,8-hexamethylindeno[5,6-c]pyran ; 1,4-dioxacycloheptadecane-5,17-dione ; benzyl benzoate ; acetyl cedrene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inalazione)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inalazione),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cutanea)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cutanea), categoria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orale), categoria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categoria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categoria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specifica per organi bersaglio – esposizione singola, categoria 3 – Irritazione delle vie respiratorie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Liquido e vapori facilmente infiammabili.</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Liquido e vapori infiammabili.</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contatto con la pelle.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inalato.</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irritare le vie respiratorie.</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BENZYL ALCOHOL, ACETYL CEDRENE, linalool, TETRAMETHYL ACETYLOCTAHYDRONAPHTHALENES, ISOEUGENOL. Può provocare una reazione allergica.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H226</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Pr>
                <w:noProof/>
              </w:rPr>
              <w:t>Sulla base di dati sperimentali</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r w14:paraId="76B6D773"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30/09/2026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18</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18</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30/09/2026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18</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Ricarica per diffusore - malagasy wood</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bottom w:val="single" w:sz="4" w:space="0" w:color="0070C0"/>
      </w:tblBorders>
      <w:tblLayout w:type="fixed"/>
      <w:tblCellMar>
        <w:left w:w="0" w:type="dxa"/>
        <w:bottom w:w="57" w:type="dxa"/>
        <w:right w:w="0" w:type="dxa"/>
      </w:tblCellMar>
      <w:tblLook w:val="04A0"/>
    </w:tblPr>
    <w:tblGrid>
      <w:gridCol w:w="2948"/>
      <w:gridCol w:w="4535"/>
      <w:gridCol w:w="3005"/>
    </w:tblGrid>
    <w:tr w14:paraId="48CF5240" w14:textId="77777777" w:rsidTr="008F5B08">
      <w:tblPrEx>
        <w:tblW w:w="10488" w:type="dxa"/>
        <w:tblBorders>
          <w:bottom w:val="single" w:sz="4" w:space="0" w:color="0070C0"/>
        </w:tblBorders>
        <w:tblLayout w:type="fixed"/>
        <w:tblCellMar>
          <w:left w:w="0" w:type="dxa"/>
          <w:bottom w:w="57" w:type="dxa"/>
          <w:right w:w="0" w:type="dxa"/>
        </w:tblCellMar>
        <w:tblLook w:val="04A0"/>
      </w:tblPrEx>
      <w:trPr>
        <w:trHeight w:val="20"/>
      </w:trPr>
      <w:tc>
        <w:tcPr>
          <w:tcW w:w="2948" w:type="dxa"/>
          <w:vMerge w:val="restart"/>
          <w:tcBorders>
            <w:top w:val="none" w:sz="0" w:space="0" w:color="000000"/>
            <w:left w:val="none" w:sz="0" w:space="0" w:color="000000"/>
            <w:bottom w:val="none" w:sz="0" w:space="0" w:color="000000"/>
            <w:right w:val="none" w:sz="0" w:space="0" w:color="000000"/>
          </w:tcBorders>
        </w:tcPr>
        <w:p w:rsidR="009C6C12" w:rsidRPr="00DB1125" w:rsidP="00DB1125" w14:paraId="2F81A3AB" w14:textId="70304125">
          <w:pPr>
            <w:pStyle w:val="SDSTableTextHeader"/>
          </w:pPr>
          <w:r>
            <w:drawing>
              <wp:inline>
                <wp:extent cx="1714500" cy="624078"/>
                <wp:docPr id="100023" name="" descr="Logo p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1"/>
                        <a:stretch>
                          <a:fillRect/>
                        </a:stretch>
                      </pic:blipFill>
                      <pic:spPr>
                        <a:xfrm>
                          <a:off x="0" y="0"/>
                          <a:ext cx="1714500" cy="624078"/>
                        </a:xfrm>
                        <a:prstGeom prst="rect">
                          <a:avLst/>
                        </a:prstGeom>
                      </pic:spPr>
                    </pic:pic>
                  </a:graphicData>
                </a:graphic>
              </wp:inline>
            </w:drawing>
          </w:r>
        </w:p>
      </w:tc>
      <w:tc>
        <w:tcPr>
          <w:tcW w:w="7540" w:type="dxa"/>
          <w:gridSpan w:val="2"/>
          <w:tcBorders>
            <w:top w:val="none" w:sz="0" w:space="0" w:color="000000"/>
            <w:left w:val="none" w:sz="0" w:space="0" w:color="000000"/>
            <w:bottom w:val="nil"/>
            <w:right w:val="none" w:sz="0" w:space="0" w:color="000000"/>
          </w:tcBorders>
          <w:tcMar>
            <w:left w:w="0" w:type="dxa"/>
          </w:tcMar>
        </w:tcPr>
        <w:p w:rsidR="009C6C12" w:rsidRPr="008F5B08" w:rsidP="008F5B08" w14:paraId="1B70934B" w14:textId="4DAE3794">
          <w:pPr>
            <w:pStyle w:val="SDSTableTextHeader"/>
            <w:rPr>
              <w:b/>
              <w:sz w:val="32"/>
              <w:szCs w:val="32"/>
            </w:rPr>
          </w:pPr>
          <w:r>
            <w:rPr>
              <w:b/>
              <w:noProof/>
              <w:sz w:val="32"/>
              <w:szCs w:val="32"/>
            </w:rPr>
            <w:t>Ricarica per diffusore - malagasy wood</w:t>
          </w:r>
        </w:p>
      </w:tc>
    </w:tr>
    <w:tr w14:paraId="7D50F31A"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none" w:sz="0" w:space="0" w:color="000000"/>
            <w:right w:val="none" w:sz="0" w:space="0" w:color="000000"/>
          </w:tcBorders>
        </w:tcPr>
        <w:p w:rsidR="009C6C12" w:rsidP="00DB1125" w14:paraId="54934F52" w14:textId="77777777">
          <w:pPr>
            <w:pStyle w:val="SDSTableTextHeader"/>
          </w:pPr>
        </w:p>
      </w:tc>
      <w:tc>
        <w:tcPr>
          <w:tcW w:w="4535" w:type="dxa"/>
          <w:tcBorders>
            <w:top w:val="none" w:sz="0" w:space="0" w:color="000000"/>
            <w:left w:val="none" w:sz="0" w:space="0" w:color="000000"/>
            <w:bottom w:val="nil"/>
            <w:right w:val="none" w:sz="0" w:space="0" w:color="000000"/>
          </w:tcBorders>
          <w:tcMar>
            <w:left w:w="0" w:type="dxa"/>
          </w:tcMar>
        </w:tcPr>
        <w:p w:rsidR="009C6C12" w:rsidP="00DB1125" w14:paraId="3256D01C" w14:textId="2272BE3F">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8F5B08" w14:paraId="45A8F1CC" w14:textId="64A3CD0E">
          <w:pPr>
            <w:pStyle w:val="SDSTableTextHeader"/>
            <w:jc w:val="right"/>
            <w:rPr>
              <w:b/>
              <w:color w:val="FF0000"/>
              <w:sz w:val="24"/>
              <w:szCs w:val="24"/>
            </w:rPr>
          </w:pPr>
        </w:p>
      </w:tc>
    </w:tr>
    <w:tr w14:paraId="2CED3BEE"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single" w:sz="4" w:space="0" w:color="000000"/>
            <w:right w:val="none" w:sz="0" w:space="0" w:color="000000"/>
          </w:tcBorders>
        </w:tcPr>
        <w:p w:rsidR="009C6C12" w:rsidP="00DB1125" w14:paraId="258B1E0A" w14:textId="77777777">
          <w:pPr>
            <w:pStyle w:val="SDSTableTextHeader"/>
          </w:pPr>
        </w:p>
      </w:tc>
      <w:tc>
        <w:tcPr>
          <w:tcW w:w="7540" w:type="dxa"/>
          <w:gridSpan w:val="2"/>
          <w:tcBorders>
            <w:top w:val="nil"/>
            <w:left w:val="none" w:sz="0" w:space="0" w:color="000000"/>
            <w:bottom w:val="single" w:sz="4" w:space="0" w:color="000000"/>
            <w:right w:val="none" w:sz="0" w:space="0" w:color="000000"/>
          </w:tcBorders>
          <w:tcMar>
            <w:left w:w="0" w:type="dxa"/>
          </w:tcMar>
        </w:tcPr>
        <w:p w:rsidR="009C6C12" w:rsidRPr="00A6053A" w:rsidP="008F5B08" w14:paraId="650C2731" w14:textId="5DC8054E">
          <w:pPr>
            <w:pStyle w:val="SDSTableTextHeader"/>
            <w:rPr>
              <w:lang w:val="fr-BE"/>
            </w:rPr>
          </w:pPr>
          <w:r w:rsidRPr="00A6053A">
            <w:rPr>
              <w:noProof/>
              <w:lang w:val="fr-BE"/>
            </w:rPr>
            <w:t>secondo il Regolamento REACH (CE) 1907/2006 modificato dal Regolamento (UE) 2020/878</w:t>
          </w:r>
        </w:p>
        <w:p w:rsidR="009C6C12" w:rsidRPr="008F5B08" w:rsidP="008F5B08" w14:paraId="31267F45" w14:textId="67A5CBF0">
          <w:pPr>
            <w:pStyle w:val="SDSTableTextHeader"/>
          </w:pPr>
          <w:r>
            <w:rPr>
              <w:noProof/>
            </w:rPr>
            <w:t>Data di pubblicazione: 30/09/2026   Versione: 2.0</w:t>
          </w:r>
        </w:p>
      </w:tc>
    </w:tr>
    <w:tr w14:paraId="0930DE40" w14:textId="77777777" w:rsidTr="00AE7B57">
      <w:tblPrEx>
        <w:tblW w:w="10488" w:type="dxa"/>
        <w:tblLayout w:type="fixed"/>
        <w:tblCellMar>
          <w:left w:w="0" w:type="dxa"/>
          <w:bottom w:w="57" w:type="dxa"/>
          <w:right w:w="0" w:type="dxa"/>
        </w:tblCellMar>
        <w:tblLook w:val="04A0"/>
      </w:tblPrEx>
      <w:trPr>
        <w:trHeight w:val="57"/>
      </w:trPr>
      <w:tc>
        <w:tcPr>
          <w:tcW w:w="2948" w:type="dxa"/>
          <w:tcBorders>
            <w:top w:val="single" w:sz="4" w:space="0" w:color="000000"/>
            <w:left w:val="none" w:sz="0" w:space="0" w:color="000000"/>
            <w:bottom w:val="nil"/>
            <w:right w:val="none" w:sz="0" w:space="0" w:color="000000"/>
          </w:tcBorders>
        </w:tcPr>
        <w:p w:rsidR="009C6C12" w:rsidRPr="00371194" w:rsidP="00371194" w14:paraId="2420E657" w14:textId="77777777">
          <w:pPr>
            <w:pStyle w:val="SDSTextBlankLine"/>
          </w:pPr>
        </w:p>
      </w:tc>
      <w:tc>
        <w:tcPr>
          <w:tcW w:w="7540" w:type="dxa"/>
          <w:gridSpan w:val="2"/>
          <w:tcBorders>
            <w:top w:val="single" w:sz="4" w:space="0" w:color="000000"/>
            <w:left w:val="none" w:sz="0" w:space="0" w:color="000000"/>
            <w:bottom w:val="nil"/>
            <w:right w:val="none" w:sz="0" w:space="0" w:color="000000"/>
          </w:tcBorders>
          <w:tcMar>
            <w:left w:w="0" w:type="dxa"/>
          </w:tcMar>
        </w:tcPr>
        <w:p w:rsidR="009C6C12" w:rsidRPr="00371194" w:rsidP="00371194" w14:paraId="1D31590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2.xml"/><Relationship Id="rId12" Type="http://schemas.openxmlformats.org/officeDocument/2006/relationships/image" Target="media/image7.png"/><Relationship Id="rId17" Type="http://schemas.openxmlformats.org/officeDocument/2006/relationships/header" Target="header3.xml"/><Relationship Id="rId7" Type="http://schemas.openxmlformats.org/officeDocument/2006/relationships/image" Target="media/image2.png"/><Relationship Id="rId16" Type="http://schemas.openxmlformats.org/officeDocument/2006/relationships/footer" Target="footer2.xml"/><Relationship Id="rId2" Type="http://schemas.openxmlformats.org/officeDocument/2006/relationships/webSettings" Target="webSettings.xml"/><Relationship Id="rId20" Type="http://schemas.openxmlformats.org/officeDocument/2006/relationships/styles" Target="styles.xml"/><Relationship Id="rId1" Type="http://schemas.openxmlformats.org/officeDocument/2006/relationships/settings" Target="settings.xml"/><Relationship Id="rId11" Type="http://schemas.openxmlformats.org/officeDocument/2006/relationships/image" Target="media/image6.png"/><Relationship Id="rId6" Type="http://schemas.openxmlformats.org/officeDocument/2006/relationships/image" Target="media/image1.png"/><Relationship Id="rId15" Type="http://schemas.openxmlformats.org/officeDocument/2006/relationships/footer" Target="footer1.xml"/><Relationship Id="rId5" Type="http://schemas.openxmlformats.org/officeDocument/2006/relationships/hyperlink" Target="mailto:office@labsys.fr" TargetMode="External"/><Relationship Id="rId23" Type="http://schemas.openxmlformats.org/officeDocument/2006/relationships/customXml" Target="../customXml/item4.xml"/><Relationship Id="rId10" Type="http://schemas.openxmlformats.org/officeDocument/2006/relationships/image" Target="media/image5.png"/><Relationship Id="rId19" Type="http://schemas.openxmlformats.org/officeDocument/2006/relationships/theme" Target="theme/theme1.xml"/><Relationship Id="rId14" Type="http://schemas.openxmlformats.org/officeDocument/2006/relationships/header" Target="header2.xml"/><Relationship Id="rId4" Type="http://schemas.openxmlformats.org/officeDocument/2006/relationships/customXml" Target="../customXml/item1.xml"/><Relationship Id="rId9" Type="http://schemas.openxmlformats.org/officeDocument/2006/relationships/image" Target="media/image4.png"/><Relationship Id="rId22" Type="http://schemas.openxmlformats.org/officeDocument/2006/relationships/customXml" Target="../customXml/item3.xml"/></Relationships>
</file>

<file path=word/_rels/header3.xml.rels><?xml version="1.0" encoding="utf-8" standalone="yes"?><Relationships xmlns="http://schemas.openxmlformats.org/package/2006/relationships"><Relationship Id="rId1" Type="http://schemas.openxmlformats.org/officeDocument/2006/relationships/image" Target="media/image8.png" /></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2217688B-38AD-4274-89D9-849D65A16FE8}"/>
</file>

<file path=customXml/itemProps3.xml><?xml version="1.0" encoding="utf-8"?>
<ds:datastoreItem xmlns:ds="http://schemas.openxmlformats.org/officeDocument/2006/customXml" ds:itemID="{AEDE7CB6-0AFB-46A1-8EA5-96EB9BE68EB3}"/>
</file>

<file path=customXml/itemProps4.xml><?xml version="1.0" encoding="utf-8"?>
<ds:datastoreItem xmlns:ds="http://schemas.openxmlformats.org/officeDocument/2006/customXml" ds:itemID="{F1F65DAD-A66F-49D0-AE38-06DC67C1B01E}"/>
</file>

<file path=docProps/app.xml><?xml version="1.0" encoding="utf-8"?>
<Properties xmlns="http://schemas.openxmlformats.org/officeDocument/2006/extended-properties" xmlns:vt="http://schemas.openxmlformats.org/officeDocument/2006/docPropsVTypes">
  <Template>Normal</Template>
  <TotalTime>219</TotalTime>
  <Pages>18</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