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Profumo per auto - Gold Car</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50X0-N0X9-P00C-RKSD</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Codice del prodotto</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1874713</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Profumo per auto destinato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Corrosione/irritazione cutanea, categoria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H315</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Gravi lesioni oculari/irritazione oculare, categoria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H319</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9"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Pericoloso per l’ambiente acquatico – Pericolo cronico, categoria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Provoca irritazione cutanea. Può provocare una reazione allergica cutanea. Provoca grave irritazione oculare. Tossico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Pittogrammi di pericoli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GHS09</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[3R-(3α,3aβ,6α,7β,8aα)]-octahydro-3,6,8,8-tetramethyl-1H-3a,7-methanoazulen-5-yl acetate; linalyl acetate; 3-(p-cumenyl)-2-methylpropionaldehyde; citral; (ethoxymethoxy)cyclododecane; cinnamaldehyde; etere metilico di cedro; 4-tert-butylcyclohexyl acetate; 1-(1,2,3,4,5,6,7,8-octahydro-2,3,8,8-tetramethyl-2-naphthyl)ethan-1-one; coumarin; α-hexylcinnamaldehyde; 3-methyl-4-(2,6,6-trimethyl-2-cyclohexen-1-yl)-3-buten-2-one; linalool; Cyclohexanemethanol, 4-(1-methylethyl)-; ALPHA-METHYL-ALPHA-IONONE; 3-(p-ethylphenyl)-2,2-dimethylpropionaldehyde; cyclamen aldehyde; beta-methylionone; Eugenol; (E)-1-(2,6,6-trimethyl-2-cyclohexen-1-yl)-2-buten-1-one; 2,4-dimethylcyclohex-3-ene-1-carbaldehyde; 3-(o-ethylphenyl)-2,2-dimethylpropionaldehyde; 1-(2,6,6-trimethyl-1,3-cyclohexadien-1-yl)-2-buten-1-one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H315 - Provoca irritazione cutanea.</w:t>
              <w:br/>
              <w:t>H317 - Può provocare una reazione allergica cutanea.</w:t>
              <w:br/>
              <w:t>H319 - Provoca grave irritazione oculare.</w:t>
              <w:br/>
              <w:t>H411 - Tossico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P302+P352 - IN CASO DI CONTATTO CON LA PELLE: lavare abbondantemente con acqua e sapone..</w:t>
              <w:br/>
              <w:t>P305+P351+P338 - IN CASO DI CONTATTO CON GLI OCCHI: sciacquare accuratamente per parecchi minuti. Togliere le eventuali lenti a contatto se è agevole farlo. Continuare a sciacquare.</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Sostanza(e) che non soddisfa(no) i criteri PBT del regolamento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(ethoxymethoxy)cyclododecane (58567-11-6)</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Sostanza(e) che non soddisfa(no) i criteri vPvB del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(ethoxymethoxy)cyclododecane (58567-11-6)</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sostanza con dei valori limite nazionali di esposizione professionale (IT); sostanza con un limite comunitario di esposizione sul posto di lavoro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34590-94-8</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47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sidR="00FA7F7F">
              <w:rPr>
                <w:noProof/>
              </w:rPr>
              <w:t>Non classificato</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2,6-dimethyloct-7-en-2-ol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18479-58-8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242-362-4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STOT SE 3, H336</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EE8DAF" w14:textId="7F7C89E0">
            <w:pPr>
              <w:pStyle w:val="SDSTableTextNormal"/>
              <w:rPr>
                <w:noProof w:val="0"/>
                <w:lang w:val="fr-BE"/>
              </w:rPr>
            </w:pP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63500-71-0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405-040-6</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603-101-00-3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[3R-(3α,3aβ,6α,7β,8aα)]-octahydro-3,6,8,8-tetramethyl-1H-3a,7-methanoazulen-5-yl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77-54-3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201-036-1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3-methyl-4-(2,6,6-trimethyl-2-cyclohexen-1-yl)-3-buten-2-one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vanillin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121-33-5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204-642-4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6,6-dimethoxy-2,5,5-trimethylhex-2-ene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67674-46-8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266-885-2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Aquatic Chronic 3, H412</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(ethoxymethoxy)cyclododecane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58567-11-6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261-332-1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etere metilico di cedro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C"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D"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Cyclohexanemethanol, 4-(1-methylethyl)-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5502-75-0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939-719-8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4F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ALPHA-METHYL-ALPHA-IONONE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127-42-4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204-842-1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br/>
              <w:t>Aquatic Chronic 2, H411</w:t>
            </w:r>
          </w:p>
        </w:tc>
      </w:tr>
      <w:tr w14:paraId="73AD14F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3-(p-ethylphenyl)-2,2-dimethylpropionaldehyde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67634-15-5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266-819-2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Acute 1, H400</w:t>
              <w:br/>
              <w:t>Aquatic Chronic 2, H411</w:t>
            </w:r>
          </w:p>
        </w:tc>
      </w:tr>
      <w:tr w14:paraId="73AD150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103-95-7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Chronic 3, H412</w:t>
            </w:r>
          </w:p>
        </w:tc>
      </w:tr>
      <w:tr w14:paraId="73AD150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allyl (cyclohexyloxy)acetate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68901-15-5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272-657-3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Aquatic Acute 1, H400</w:t>
              <w:br/>
              <w:t>Aquatic Chronic 1, H410</w:t>
            </w:r>
          </w:p>
        </w:tc>
      </w:tr>
      <w:tr w14:paraId="73AD150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beta-methylionone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127-43-5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204-843-7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50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[3R-(3α,3aβ,7β,8aα)]-2,3,4,7,8,8a-hexahydro-3,6,8,8-tetramethyl-1H-3a,7-methanoazulene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50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3-(p-cumenyl)-2-methylpropionaldehyde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6658-48-6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229-695-0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r>
          </w:p>
        </w:tc>
      </w:tr>
      <w:tr w14:paraId="73AD150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226-394-6</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605-019-00-3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50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cutanea), H312 (ATE=1260 mg/kg di peso corporeo)</w:t>
              <w:br/>
              <w:t>Skin Irrit. 2, H315</w:t>
              <w:br/>
              <w:t>Eye Irrit. 2, H319</w:t>
              <w:br/>
              <w:t>Skin Sens. 1A, H317</w:t>
              <w:br/>
              <w:t>Aquatic Chronic 3, H412</w:t>
            </w:r>
          </w:p>
        </w:tc>
      </w:tr>
      <w:tr w14:paraId="73AD150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50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(E)-1-(2,6,6-trimethyl-2-cyclohexen-1-yl)-2-buten-1-one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24720-09-0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246-430-4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br/>
              <w:t>Aquatic Acute 1, H400</w:t>
              <w:br/>
              <w:t>Aquatic Chronic 1, H410</w:t>
            </w:r>
          </w:p>
        </w:tc>
      </w:tr>
      <w:tr w14:paraId="73AD150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2,4-dimethylcyclohex-3-ene-1-carbaldehyde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68039-49-6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268-264-1</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605-043-00-4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50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3-(o-ethylphenyl)-2,2-dimethylpropionaldehyde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67634-14-4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266-818-7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Acute 1, H400</w:t>
              <w:br/>
              <w:t>Aquatic Chronic 2, H411</w:t>
            </w:r>
          </w:p>
        </w:tc>
      </w:tr>
      <w:tr w14:paraId="73AD150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23696-85-7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245-833-2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inalazione), H332</w:t>
              <w:br/>
              <w:t>Skin Irrit. 2, H315</w:t>
              <w:br/>
              <w:t>Skin Sens. 1A, H317</w:t>
              <w:br/>
              <w:t>Aquatic Chronic 2, H411</w:t>
            </w:r>
          </w:p>
        </w:tc>
      </w:tr>
      <w:tr w14:paraId="73AD150C"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[3R-(3α,3aβ,7β,8aα)]-octahydro-3,8,8-trimethyl-6-methylene-1H-3a,7-methanoazulene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546-28-1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208-898-8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0,082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Sciacquare accuratamente per parecchi minuti. Togliere le eventuali lenti a contatto se è agevole farlo. Continuare a sciacquare. Se l’irritazione degli occhi persiste, consultare un medico.</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Nessuno(a) in condizioni normali.</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Irritazione. 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Irritazione degli occhi.</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Acqua nebulizzata. Polvere secca. Schiuma. Anidride carbonica.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Bloccare la perdita se non c’è pericolo. 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Allontanare il personale non necessario. Bloccare la perdita se non c’è pericolo.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Raccogliere il materiale fuoriuscito. Trattenere eventuali fuoriuscite con argini o assorbenti per evitare dispersioni o penetrazioni nelle fogne o nei corsi d’acqua. Bloccare la fuoruscita, se possibile senza rischi.</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Assorbire il liquido fuoriuscito con materiale assorbente.</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Indossare un dispositivo di protezione individuale. Evitare di respirare la polvere/i fumi/i gas/la nebbia/i vapori/gli aerosol.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Lavare gli indumenti contaminati prima di indossarli nuovamente. Gli indumenti da lavoro contaminati non devono essere portati fuori dal luogo di lavoro.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B077C8" w:rsidRPr="0069446B" w:rsidP="00B077C8" w14:paraId="76C830A6" w14:textId="7C05BC4C">
      <w:pPr>
        <w:pStyle w:val="SDSTextHeading3"/>
        <w:rPr>
          <w:noProof w:val="0"/>
          <w:color w:val="auto"/>
          <w:lang w:val="en-US"/>
        </w:rPr>
      </w:pPr>
      <w:r w:rsidRPr="0069446B">
        <w:rPr>
          <w:noProof/>
          <w:color w:val="auto"/>
          <w:lang w:val="en-US"/>
        </w:rPr>
        <w:t>Valori limite nazionali di esposizione professionale e biologici</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Valore Limite Indicativo di Esposizione Professionale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Nome locale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Osservazione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Riferimento normativo</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Italia - Valori limite di esposizione professionale</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Nome locale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(2-metossimetiletossi)-propanolo</w:t>
            </w:r>
          </w:p>
        </w:tc>
      </w:tr>
      <w:tr w14:paraId="70951C3F"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40"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Osservazione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Cute</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Riferimento normativo</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Allegato XXXVIII del D.Lgs. 9 aprile 2008, n. 81 e s.m.i. (D.Lgs. 4 settembre 2024, n. 135)</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Dispositivi di protezione individuale</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Dispositivi di protezione individuale</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Indossare i dispositivi di protezione individuale raccomandati.</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Simbolo(i) Dispositivi di Protezione Individuale</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5" name="" descr="Guanti di prote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7" name="" descr="Occhiali di sicurez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9" name="" descr="Usare indumenti protettivi adat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Pr>
          <w:noProof/>
          <w:color w:val="auto"/>
          <w:lang w:val="en-US"/>
        </w:rPr>
        <w:t>Protezione degli occhi e del volto</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Protezione degli occhi</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Occhiali di sicurezza</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Protezione della pelle</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Pr>
                <w:noProof/>
              </w:rPr>
              <w:t>Protezione della pelle e del corpo</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Usare indumenti protettivi adatti</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Protezione delle mani</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Guanti di protezione</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Protezione respiratoria</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Protezione respiratoria</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In caso di ventilazione insufficiente, usare un apparecchio respiratorio adatto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Incolore. Giallo.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Ambra. Legnoso.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Non applicabile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Non disponibile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Non disponibile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Non disponibile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84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Non disponibile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Non disponibile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0,935</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Non disponibile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Caratteristiche delle particelle</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Non applicabile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[3R-(3α,3aβ,6α,7β,8aα)]-octahydro-3,6,8,8-tetramethyl-1H-3a,7-methanoazulen-5-yl acetate (77-54-3)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44750 mg/kg di peso corporeo Animal: rat, Guideline: OECD Guideline 401 (Acute Oral Toxicity), 95% CL: 33650 - 59520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di peso corporeo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citral (5392-40-5)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6800 mg/kg di peso corporeo Animal: rat</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(ethoxymethoxy)cyclododecane (58567-11-6)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di peso corporeo Animal: rat, Animal sex: male,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6,6-dimethoxy-2,5,5-trimethylhex-2-ene (67674-46-8)</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4180 mg/kg di peso corporeo Animal: ,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di peso corporeo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di peso corporeo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di peso corporeo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Inalazione - Ratto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di peso corporeo Animal: rat, Guideline: OECD Guideline 401 (Acute Oral Toxicity)</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19020 mg/kg di peso corporeo Animal: rat, Guideline: OECD Guideline 402 (Acute Dermal Toxicity)</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di peso corporeo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di peso corporeo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vanillin (121-33-5)</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di peso corporeo Animal: rat, Guideline: other:</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di peso corporeo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 xml:space="preserve"> (63500-71-0)</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Guideline: EU Method B.1 (Acute Toxicity (Oral)), Guideline: OECD Guideline 401 (Acute Oral Toxicity)</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3-methyl-4-(2,6,6-trimethyl-2-cyclohexen-1-yl)-3-buten-2-one (127-51-5)</w:t>
            </w:r>
          </w:p>
        </w:tc>
      </w:tr>
      <w:tr w14:paraId="02D6B5B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r w14:paraId="14A1065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B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di peso corporeo Animal: mouse, Guideline: OECD Guideline 401 (Acute Oral Toxicity), 95% CL: 2620 - 3620</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7"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Cyclohexanemethanol, 4-(1-methylethyl)- (5502-75-0)</w:t>
            </w:r>
          </w:p>
        </w:tc>
      </w:tr>
      <w:tr w14:paraId="02D6B5B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10000 mg/kg di peso corporeo Animal: rat, Guideline: OECD Guideline 401 (Acute Oral Toxicity)</w:t>
            </w:r>
          </w:p>
        </w:tc>
      </w:tr>
      <w:tr w14:paraId="6700D31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8"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cyclamen aldehyde (103-95-7)</w:t>
            </w:r>
          </w:p>
        </w:tc>
      </w:tr>
      <w:tr w14:paraId="02D6B5B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 5000 mg/kg di peso corporeo Animal: rat, Guideline: OECD Guideline 401 (Acute Oral Toxicity)</w:t>
            </w:r>
          </w:p>
        </w:tc>
      </w:tr>
      <w:tr w14:paraId="14A1065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5000 mg/kg di peso corporeo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9"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B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male, Guideline: OECD Guideline 423 (Acute Oral toxicity - Acute Toxic Class Method)</w:t>
            </w:r>
          </w:p>
        </w:tc>
      </w:tr>
      <w:tr w14:paraId="512A600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di peso corporeo Animal: mouse, Animal sex: 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sidR="00FA7F7F">
              <w:rPr>
                <w:noProof/>
              </w:rPr>
              <w:t>Provoca irritazione cutanea.</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3-methyl-4-(2,6,6-trimethyl-2-cyclohexen-1-yl)-3-buten-2-one (127-51-5)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sidR="00FA7F7F">
              <w:rPr>
                <w:noProof/>
              </w:rPr>
              <w:t>Provoca grave irritazione oculare.</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3-methyl-4-(2,6,6-trimethyl-2-cyclohexen-1-yl)-3-buten-2-one (127-51-5)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citral (5392-40-5)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(ethoxymethoxy)cyclododecane (58567-11-6)</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50 mg/kg di peso corporeo Animal: rat, Animal sex: male, Guideline: OECD Guideline 422 (Combined Repeated Dose Toxicity Study with the Reproduction / Developmental Toxicity Screening Test), Guideline: other:</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1000 mg/kg di peso corporeo Animal: rat, Animal sex: female, Guideline: OECD Guideline 422 (Combined Repeated Dose Toxicity Study with the Reproduction / Developmental Toxicity Screening Test),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6,6-dimethoxy-2,5,5-trimethylhex-2-ene (67674-46-8)</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615 mg/kg di peso corporeo Animal: rat, Animal sex: female, Guideline: OECD Guideline 422 (Combined Repeated Dose Toxicity Study with the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di peso corporeo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7"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cyclamen aldehyde (103-95-7)</w:t>
            </w:r>
          </w:p>
        </w:tc>
      </w:tr>
      <w:tr w14:paraId="08D78BFD"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25 mg/kg di peso corporeo Animal: rat, Animal sex: male, Guideline: OECD Guideline 415 [One-Generation Reproduction Toxicity Study (before 9 October 2017)]</w:t>
            </w:r>
          </w:p>
        </w:tc>
      </w:tr>
      <w:tr w14:paraId="7F5CEB61"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25 mg/kg di peso corporeo Animal: rat, Animal sex: female, Guideline: OECD Guideline 415 [One-Generation Reproduction Toxicity Study (before 9 October 2017)]</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2,6-dimethyloct-7-en-2-ol (18479-58-8)</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Tossicità specifica per organi bersaglio (STOT) — esposizione singola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Può provocare sonnolenza o vertigini.</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citral (5392-40-5)</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(inalazione,ratto,gas,90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di peso corporeo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(inalazione,ratto,gas,90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di peso corporeo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6,6-dimethoxy-2,5,5-trimethylhex-2-ene (67674-46-8)</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386 mg/kg di peso corporeo Animal: rat, Animal sex: male, Guideline: OECD Guideline 422 (Combined Repeated Dose Toxicity Study with the Reproduction / Developmental Toxicity Screening Test)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 xml:space="preserve"> (63500-71-0)</w:t>
            </w:r>
          </w:p>
        </w:tc>
      </w:tr>
      <w:tr w14:paraId="07CBBCD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125 mg/kg di peso corporeo Animal: rat, Guideline: OECD Guideline 407 (Repeated Dose 28-Day Oral Toxicity Study in Rodents)</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1000 mg/kg di peso corporeo Animal: rat, Guideline: OECD Guideline 411 (Subchronic Dermal Toxicity: 90-Day Study), Guideline: EU Method B.28 (Sub-Chronic Dermal Toxicity Test: 90-Day Repeated Dermal Dose Study Using Rodent Species)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0"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3-methyl-4-(2,6,6-trimethyl-2-cyclohexen-1-yl)-3-buten-2-one (127-51-5)</w:t>
            </w:r>
          </w:p>
        </w:tc>
      </w:tr>
      <w:tr w14:paraId="07CBBCDA"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di peso corporeo Animal: rat, Animal sex: male, Guideline: OECD Guideline 408 (Repeated Dose 90-Day Oral Toxicity Study in Rodents)</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50 mg/kg di peso corporeo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1"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2"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Cyclohexanemethanol, 4-(1-methylethyl)- (5502-75-0)</w:t>
            </w:r>
          </w:p>
        </w:tc>
      </w:tr>
      <w:tr w14:paraId="07CBBCDB"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di peso corporeo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3"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 900 mg/kg di peso corporeo Animal: mouse, Animal sex: male, Guideline: other:</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450 mg/kg di peso corporeo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4"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(E)-1-(2,6,6-trimethyl-2-cyclohexen-1-yl)-2-buten-1-one (24720-09-0)</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500 mg/kg di peso corporeo Animal: rat, Guideline: OECD Guideline 408 (Repeated Dose 90-Day Oral Toxicity Study in Rodents)</w:t>
            </w:r>
          </w:p>
        </w:tc>
      </w:tr>
      <w:tr w14:paraId="07CBBCD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di peso corporeo Animal: rat, Animal sex: male,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Informazioni su altri pericoli</w:t>
      </w:r>
      <w:bookmarkEnd w:id="4"/>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Tossico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Tossico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[3R-(3α,3aβ,6α,7β,8aα)]-octahydro-3,6,8,8-tetramethyl-1H-3a,7-methanoazulen-5-yl acetate (77-54-3)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 15,61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0,31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citral (5392-40-5)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6,78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6,8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103,8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(ethoxymethoxy)cyclododecane (58567-11-6)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1,9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1,6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6,6-dimethoxy-2,5,5-trimethylhex-2-ene (67674-46-8)</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50,7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CE50 - Altri organismi acquatici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0,5 mg/l Test organisms (species): Daphnia magna Duration: '22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vanillin (121-33-5)</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123 mg/l Test organisms (species): Pimephales promelas</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36,79 mg/l Test organisms (species): Daphnia magna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120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10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5,9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2,6-dimethyloct-7-en-2-ol (18479-58-8)</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80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65 mg/l Test organisms (species): Desmodesmus subspicatus (previous name: Scenedesmus subspicatus)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9,5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 xml:space="preserve"> (63500-71-0)</w:t>
            </w:r>
          </w:p>
        </w:tc>
      </w:tr>
      <w:tr w14:paraId="758D63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320 mg/l Test organisms (species): Daphnia magna</w:t>
            </w:r>
          </w:p>
        </w:tc>
      </w:tr>
      <w:tr w14:paraId="66FAA3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3-methyl-4-(2,6,6-trimethyl-2-cyclohexen-1-yl)-3-buten-2-one (127-51-5)</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Oncorhynchus mykiss (previous name: Salmo gairdneri)</w:t>
            </w:r>
          </w:p>
        </w:tc>
      </w:tr>
      <w:tr w14:paraId="758D634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magna</w:t>
            </w:r>
          </w:p>
        </w:tc>
      </w:tr>
      <w:tr w14:paraId="66FAA3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Cyclohexanemethanol, 4-(1-methylethyl)- (5502-75-0)</w:t>
            </w:r>
          </w:p>
        </w:tc>
      </w:tr>
      <w:tr w14:paraId="562CCB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13 mg/l Test organisms (species): Daphnia magna</w:t>
            </w:r>
          </w:p>
        </w:tc>
      </w:tr>
      <w:tr w14:paraId="66FAA3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cyclamen aldehyde (103-95-7)</w:t>
            </w:r>
          </w:p>
        </w:tc>
      </w:tr>
      <w:tr w14:paraId="562CC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1,42 mg/l Test organisms (species):</w:t>
            </w:r>
          </w:p>
        </w:tc>
      </w:tr>
      <w:tr w14:paraId="7D93309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2,49 mg/l Test organisms (species):</w:t>
            </w:r>
          </w:p>
        </w:tc>
      </w:tr>
      <w:tr w14:paraId="758D635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 mg/l Test organisms (species): Daphnia magna</w:t>
            </w:r>
          </w:p>
        </w:tc>
      </w:tr>
      <w:tr w14:paraId="66FAA3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5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(E)-1-(2,6,6-trimethyl-2-cyclohexen-1-yl)-2-buten-1-one (24720-09-0)</w:t>
            </w:r>
          </w:p>
        </w:tc>
      </w:tr>
      <w:tr w14:paraId="562CC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Oryzias latipes</w:t>
            </w:r>
          </w:p>
        </w:tc>
      </w:tr>
      <w:tr w14:paraId="758D635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2,37 mg/l Test organisms (species): Daphnia magna</w:t>
            </w:r>
          </w:p>
        </w:tc>
      </w:tr>
      <w:tr w14:paraId="66FAA3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5 mg/l Test organisms (species): other:</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Profumo per auto - Gold Car</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[3R-(3α,3aβ,6α,7β,8aα)]-octahydro-3,6,8,8-tetramethyl-1H-3a,7-methanoazulen-5-yl acetate (77-54-3)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3-(p-cumenyl)-2-methylpropionaldehyde (6658-48-6)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(ethoxymethoxy)cyclododecane (58567-11-6)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6,6-dimethoxy-2,5,5-trimethylhex-2-ene (67674-46-8)</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(cyclohexyloxy)acetate (68901-15-5)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etere metilico di cedro (19870-74-7)</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vanillin (121-33-5)</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2,6-dimethyloct-7-en-2-ol (18479-58-8)</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 xml:space="preserve"> (63500-71-0)</w:t>
            </w:r>
          </w:p>
        </w:tc>
      </w:tr>
      <w:tr w14:paraId="2D6A99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3-methyl-4-(2,6,6-trimethyl-2-cyclohexen-1-yl)-3-buten-2-one (127-51-5)</w:t>
            </w:r>
          </w:p>
        </w:tc>
      </w:tr>
      <w:tr w14:paraId="2D6A99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Cyclohexanemethanol, 4-(1-methylethyl)- (5502-75-0)</w:t>
            </w:r>
          </w:p>
        </w:tc>
      </w:tr>
      <w:tr w14:paraId="2D6A99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ALPHA-METHYL-ALPHA-IONONE (127-42-4)</w:t>
            </w:r>
          </w:p>
        </w:tc>
      </w:tr>
      <w:tr w14:paraId="2D6A99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3-(p-ethylphenyl)-2,2-dimethylpropionaldehyde (67634-15-5)</w:t>
            </w:r>
          </w:p>
        </w:tc>
      </w:tr>
      <w:tr w14:paraId="2D6A99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cyclamen aldehyde (103-95-7)</w:t>
            </w:r>
          </w:p>
        </w:tc>
      </w:tr>
      <w:tr w14:paraId="2D6A99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beta-methylionone (127-43-5)</w:t>
            </w:r>
          </w:p>
        </w:tc>
      </w:tr>
      <w:tr w14:paraId="2D6A99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[3R-(3α,3aβ,7β,8aα)]-2,3,4,7,8,8a-hexahydro-3,6,8,8-tetramethyl-1H-3a,7-methanoazulene (469-61-4)</w:t>
            </w:r>
          </w:p>
        </w:tc>
      </w:tr>
      <w:tr w14:paraId="2D6A99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(E)-1-(2,6,6-trimethyl-2-cyclohexen-1-yl)-2-buten-1-one (24720-09-0)</w:t>
            </w:r>
          </w:p>
        </w:tc>
      </w:tr>
      <w:tr w14:paraId="2D6A99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2,4-dimethylcyclohex-3-ene-1-carbaldehyde (68039-49-6)</w:t>
            </w:r>
          </w:p>
        </w:tc>
      </w:tr>
      <w:tr w14:paraId="2D6A99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3-(o-ethylphenyl)-2,2-dimethylpropionaldehyde (67634-14-4)</w:t>
            </w:r>
          </w:p>
        </w:tc>
      </w:tr>
      <w:tr w14:paraId="2D6A99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2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1-(2,6,6-trimethyl-1,3-cyclohexadien-1-yl)-2-buten-1-one (23696-85-7)</w:t>
            </w:r>
          </w:p>
        </w:tc>
      </w:tr>
      <w:tr w14:paraId="2D6A997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2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[3R-(3α,3aβ,7β,8aα)]-octahydro-3,8,8-trimethyl-6-methylene-1H-3a,7-methanoazulene (546-28-1)</w:t>
            </w:r>
          </w:p>
        </w:tc>
      </w:tr>
      <w:tr w14:paraId="2D6A997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Sostanza(e) che non soddisfa(no) i criteri PBT del regolamento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(ethoxymethoxy)cyclododecane (58567-11-6)</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Sostanza(e) che non soddisfa(no) i criteri vPvB del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(ethoxymethoxy)cyclododecane (58567-11-6)</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5"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HP4 - “Irritante – Irritazione cutanea e lesioni oculari”: rifiuto la cui applicazione può provocare irritazione cutanea o lesioni oculari.</w:t>
              <w:b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ONU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ONU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ONU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ONU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ONU 3082</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MATERIA PERICOLOSA PER L'AMBIENTE, LIQUIDA, N.A.S.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MATERIA PERICOLOSA PER L'AMBIENTE, LIQUIDA, N.A.S.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MATERIA PERICOLOSA PER L'AMBIENTE, LIQUIDA, N.A.S.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Pr>
                <w:noProof/>
                <w:color w:val="auto"/>
              </w:rPr>
              <w:t>Descrizione del documento di trasporto</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3082 MATERIA PERICOLOSA PER L'AMBIENTE, LIQUIDA, N.A.S.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3082 ENVIRONMENTALLY HAZARDOUS SUBSTANCE, LIQUID, N.O.S., 9, III, MARINE POLLUTANT</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3082 Environmentally hazardous substance, liquid,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3082 MATERIA PERICOLOSA PER L'AMBIENTE, LIQUIDA, N.A.S.,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3082 MATERIA PERICOLOSA PER L'AMBIENTE, LIQUIDA, N.A.S.,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3" name="" descr="Marchio per una sostanza pericolosa per l’ambient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1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7" name="" descr="Marchio per una sostanza pericolosa per l’ambient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1" name="" descr="Marchio per una sostanza pericolosa per l’ambient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2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5" name="" descr="Marchio per una sostanza pericolosa per l’ambient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2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9" name="" descr="Marchio per una sostanza pericolosa per l’ambient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p w:rsidR="00E5555B" w:rsidRPr="0069446B" w:rsidP="00CB352E" w14:paraId="59B4C75B" w14:textId="3A38D38E">
            <w:pPr>
              <w:pStyle w:val="SDSTableTextCentered"/>
              <w:rPr>
                <w:noProof w:val="0"/>
              </w:rPr>
            </w:pPr>
            <w:r w:rsidRPr="0069446B" w:rsidR="00FA7F7F">
              <w:rPr>
                <w:noProof/>
              </w:rPr>
              <w:t>Inquinante marino</w:t>
            </w:r>
            <w:r w:rsidRPr="0069446B">
              <w:rPr>
                <w:noProof w:val="0"/>
              </w:rPr>
              <w:t xml:space="preserve">: </w:t>
            </w:r>
            <w:r w:rsidRPr="0069446B" w:rsidR="00FA7F7F">
              <w:rPr>
                <w:noProof/>
              </w:rPr>
              <w:t>Si</w:t>
            </w:r>
          </w:p>
          <w:p w:rsidR="00C93EB0" w:rsidRPr="0069446B" w:rsidP="00C93EB0" w14:paraId="3E1963A9" w14:textId="2D18F11C">
            <w:pPr>
              <w:pStyle w:val="SDSTableTextCentered"/>
              <w:rPr>
                <w:noProof w:val="0"/>
              </w:rPr>
            </w:pPr>
            <w:r w:rsidRPr="0069446B" w:rsidR="00FA7F7F">
              <w:rPr>
                <w:noProof/>
              </w:rPr>
              <w:t>N° EmS (Incendio)</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EmS (Fuoriuscita)</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Codice di classificazione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M6</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Disposizioni speciali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274, 335, 375, 601, 650</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Quantità limitate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5l</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Quantità esenti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Istruzioni di imballaggio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P001, IBC03, LP01,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Disposizioni speciali di imballaggio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Disposizioni concernenti l’imballaggio in comune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MP19</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Istruzioni di trasporto in cisterne mobili e contenitori per il trasporto alla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T4</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Disposizioni speciali relative alle cisterne mobili e contenitori per il trasporto alla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TP1, TP29</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Codice cisterna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Veicolo per il trasporto in cisterna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Categoria di trasporto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Disposizioni speciali di trasporto - Colli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Disposizioni speciali di trasporto - Carico, scarico e movimentazione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Numero d’identificazione del pericolo (n°.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Pannello arancione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31" name="" descr="Pannello aranc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13"/>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Codice restrizione in galleria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Disposizioni speciali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Quantità limitate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L</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Quantità esenti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Istruzioni di imballaggio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LP01, P001</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Disposizioni speciali di imballaggio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Istruzioni di imballaggio IBC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Istruzioni cisterna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T4</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Disposizioni speciali cisterna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TP1, TP29</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Categoria di stivaggio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Quantità esenti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Quantità limitate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Y964</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Quantità nette max. di quantità limitate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Istruzioni di imballaggio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964</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Quantità nette max. per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450L</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Istruzioni di imballaggio aereo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964</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Quantità max. netta aereo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450L</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Disposizioni speciali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Codice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Codice di classificazione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M6</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Disposizioni speciali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274, 335, 375, 601, 650</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Quantità limitate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L</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Quantità esenti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Trasporto consentito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Attrezzatura richiesta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Numero di coni/semafori blu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Codice di classificazione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M6</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Disposizioni speciali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274, 335, 375, 601, 650</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Quantità limitate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5L</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Quantità esenti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Istruzioni di imballaggio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P001, IBC03, LP01,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Disposizioni speciali di imballaggio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Disposizioni concernenti l’imballaggio in comune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MP19</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Istruzioni di trasporto in cisterne mobili e container per il trasporto alla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T4</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Disposizioni speciali cisterne mobili e contenitori per il trasporto alla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TP1, TP29</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Codici cisterna per cisterne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Categoria di trasporto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Disposizioni speciali di trasporto - Colli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Disposizioni speciali di trasporto - carico, scarico e movimentazione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Colli express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CE8</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Numero di identificazione del pericolo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Profumo per auto - Gold Car ; [3R-(3α,3aβ,6α,7β,8aα)]-octahydro-3,6,8,8-tetramethyl-1H-3a,7-methanoazulen-5-yl acetate ; linalyl acetate ; citral ; (ethoxymethoxy)cyclododecane ; 6,6-dimethoxy-2,5,5-trimethylhex-2-ene ; cinnamaldehyde ; 4-tert-butylcyclohexyl acetate ; 2,6-dimethyloct-7-en-2-ol ;  ; 3-methyl-4-(2,6,6-trimethyl-2-cyclohexen-1-yl)-3-buten-2-one ; linalool ; Cyclohexanemethanol, 4-(1-methylethyl)- ; cyclamen aldehyde ; Eugenol ; (E)-1-(2,6,6-trimethyl-2-cyclohexen-1-yl)-2-buten-1-one ; 2,4-dimethylcyclohex-3-ene-1-carbaldehyde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[3R-(3α,3aβ,6α,7β,8aα)]-octahydro-3,6,8,8-tetramethyl-1H-3a,7-methanoazulen-5-yl acetate ; (ethoxymethoxy)cyclododecane ; 6,6-dimethoxy-2,5,5-trimethylhex-2-ene ; cinnamaldehyde ; 3-methyl-4-(2,6,6-trimethyl-2-cyclohexen-1-yl)-3-buten-2-one ; Cyclohexanemethanol, 4-(1-methylethyl)- ; cyclamen aldehyde ; (E)-1-(2,6,6-trimethyl-2-cyclohexen-1-yl)-2-buten-1-one ; 2,4-dimethylcyclohex-3-ene-1-carbaldehyde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cutanea),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specifica per organi bersaglio – esposizione singola, categoria 3 – Narcosi</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sonnolenza o vertigini.</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H315</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Eye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H319</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r w14:paraId="76B6D774"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03/07/2026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24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03/07/2026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Profumo per auto - Gold Car</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33"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Pr>
              <w:b/>
              <w:noProof/>
              <w:sz w:val="32"/>
              <w:szCs w:val="32"/>
            </w:rPr>
            <w:t>Profumo per auto - Gold Car</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secondo il Regolamento REACH (CE) 1907/2006 modificato dal Regolamento (UE) 2020/878</w:t>
          </w:r>
        </w:p>
        <w:p w:rsidR="009C6C12" w:rsidRPr="008F5B08" w:rsidP="008F5B08" w14:paraId="31267F45" w14:textId="67A5CBF0">
          <w:pPr>
            <w:pStyle w:val="SDSTableTextHeader"/>
          </w:pPr>
          <w:r>
            <w:rPr>
              <w:noProof/>
            </w:rPr>
            <w:t>Data di pubblicazione: 03/07/2026   Versione: 4.0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header" Target="header3.xml"/><Relationship Id="rId8" Type="http://schemas.openxmlformats.org/officeDocument/2006/relationships/image" Target="media/image3.png"/><Relationship Id="rId21" Type="http://schemas.openxmlformats.org/officeDocument/2006/relationships/styles" Target="styles.xml"/><Relationship Id="rId3" Type="http://schemas.openxmlformats.org/officeDocument/2006/relationships/fontTable" Target="fontTable.xml"/><Relationship Id="rId12" Type="http://schemas.openxmlformats.org/officeDocument/2006/relationships/image" Target="media/image7.png"/><Relationship Id="rId17" Type="http://schemas.openxmlformats.org/officeDocument/2006/relationships/footer" Target="footer2.xml"/><Relationship Id="rId7" Type="http://schemas.openxmlformats.org/officeDocument/2006/relationships/image" Target="media/image2.png"/><Relationship Id="rId16" Type="http://schemas.openxmlformats.org/officeDocument/2006/relationships/footer" Target="footer1.xml"/><Relationship Id="rId2" Type="http://schemas.openxmlformats.org/officeDocument/2006/relationships/webSettings" Target="webSettings.xml"/><Relationship Id="rId20" Type="http://schemas.openxmlformats.org/officeDocument/2006/relationships/theme" Target="theme/theme1.xml"/><Relationship Id="rId1" Type="http://schemas.openxmlformats.org/officeDocument/2006/relationships/settings" Target="settings.xml"/><Relationship Id="rId11" Type="http://schemas.openxmlformats.org/officeDocument/2006/relationships/image" Target="media/image6.png"/><Relationship Id="rId6" Type="http://schemas.openxmlformats.org/officeDocument/2006/relationships/image" Target="media/image1.png"/><Relationship Id="rId24" Type="http://schemas.openxmlformats.org/officeDocument/2006/relationships/customXml" Target="../customXml/item4.xml"/><Relationship Id="rId15" Type="http://schemas.openxmlformats.org/officeDocument/2006/relationships/header" Target="header2.xml"/><Relationship Id="rId5" Type="http://schemas.openxmlformats.org/officeDocument/2006/relationships/hyperlink" Target="mailto:office@labsys.fr" TargetMode="External"/><Relationship Id="rId23" Type="http://schemas.openxmlformats.org/officeDocument/2006/relationships/customXml" Target="../customXml/item3.xml"/><Relationship Id="rId10" Type="http://schemas.openxmlformats.org/officeDocument/2006/relationships/image" Target="media/image5.png"/><Relationship Id="rId19" Type="http://schemas.openxmlformats.org/officeDocument/2006/relationships/footer" Target="footer3.xml"/><Relationship Id="rId14" Type="http://schemas.openxmlformats.org/officeDocument/2006/relationships/header" Target="header1.xml"/><Relationship Id="rId4" Type="http://schemas.openxmlformats.org/officeDocument/2006/relationships/customXml" Target="../customXml/item1.xml"/><Relationship Id="rId9" Type="http://schemas.openxmlformats.org/officeDocument/2006/relationships/image" Target="media/image4.png"/><Relationship Id="rId22" Type="http://schemas.openxmlformats.org/officeDocument/2006/relationships/customXml" Target="../customXml/item2.xml"/></Relationships>
</file>

<file path=word/_rels/header3.xml.rels><?xml version="1.0" encoding="utf-8" standalone="yes"?><Relationships xmlns="http://schemas.openxmlformats.org/package/2006/relationships"><Relationship Id="rId1" Type="http://schemas.openxmlformats.org/officeDocument/2006/relationships/image" Target="media/image9.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8949BC53-A8FD-435B-A362-86083C839441}"/>
</file>

<file path=customXml/itemProps3.xml><?xml version="1.0" encoding="utf-8"?>
<ds:datastoreItem xmlns:ds="http://schemas.openxmlformats.org/officeDocument/2006/customXml" ds:itemID="{9E0C6EFD-32EC-4719-8376-0071A24C4600}"/>
</file>

<file path=customXml/itemProps4.xml><?xml version="1.0" encoding="utf-8"?>
<ds:datastoreItem xmlns:ds="http://schemas.openxmlformats.org/officeDocument/2006/customXml" ds:itemID="{5ADC2C2A-A746-4C7E-95EE-09472BF42AFD}"/>
</file>

<file path=docProps/app.xml><?xml version="1.0" encoding="utf-8"?>
<Properties xmlns="http://schemas.openxmlformats.org/officeDocument/2006/extended-properties" xmlns:vt="http://schemas.openxmlformats.org/officeDocument/2006/docPropsVTypes">
  <Template>Normal</Template>
  <TotalTime>219</TotalTime>
  <Pages>24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