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Profumo per auto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Codice del prodotto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Profumo per auto destinato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Gravi lesioni oculari/irritazione oculare Non classificato</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Basandosi sui dati disponibili i criteri di classificazione non sono soddisfatti</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Provoca grave irritazione oculare.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P391 - Raccogliere il materiale fuoriuscito.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Non classificato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Raccogliere il materiale fuoriuscito.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Osservazione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(2-metossimetiletossi)-propanolo</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Osservazione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Cute</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Giallo.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di peso corporeo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di peso corporeo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Informazioni su altri pericoli</w:t>
      </w:r>
      <w:bookmarkEnd w:id="4"/>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Profumo per auto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5"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Profumo per auto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Non classificato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Non classificato</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Non classificato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Giudizio di esperti</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Profumo per auto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sidRPr="00DB1125">
            <w:rPr>
              <w:b/>
              <w:noProof/>
              <w:sz w:val="32"/>
              <w:szCs w:val="32"/>
            </w:rPr>
            <w:t>Profumo per auto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03/07/2026   Versione: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E0960EF-3650-4E8C-A194-F0DC0DFB27E3}"/>
</file>

<file path=customXml/itemProps3.xml><?xml version="1.0" encoding="utf-8"?>
<ds:datastoreItem xmlns:ds="http://schemas.openxmlformats.org/officeDocument/2006/customXml" ds:itemID="{7EFAD8C4-FCAE-4712-BF4D-E9FD5FB91B64}"/>
</file>

<file path=customXml/itemProps4.xml><?xml version="1.0" encoding="utf-8"?>
<ds:datastoreItem xmlns:ds="http://schemas.openxmlformats.org/officeDocument/2006/customXml" ds:itemID="{2288EE9A-C68F-4703-B07C-2DA443F27470}"/>
</file>

<file path=docProps/app.xml><?xml version="1.0" encoding="utf-8"?>
<Properties xmlns="http://schemas.openxmlformats.org/officeDocument/2006/extended-properties" xmlns:vt="http://schemas.openxmlformats.org/officeDocument/2006/docPropsVTypes">
  <Template>Normal</Template>
  <TotalTime>219</TotalTime>
  <Pages>19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