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Profumo per auto - Black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M3X0-50MP-Y00U-EXCF</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Codice del prodotto</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1874712</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Profumo per auto destinato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Corrosione/irritazione cutanea,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H315</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Provoca irritazione cutanea. Può provocare una reazione allergica cutanea.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geranyl acetate; linalyl acetate; acetyl cedrene; 1-(1,2,3,4,5,6,7,8-octahydro-2,3,8,8-tetramethyl-2-naphthyl)ethan-1-one; d-limonene; α-hexylcinnamaldehyde; linalool; pin-2(10)-ene; coumarin; cyclamen aldehyde; Cyclohexanemethanol, 4-(1-methylethyl)-; methyl non-2-ynoate; Eugenol; methyl atrarate; p-mentha-1,4(8)-diène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H315 - Provoca irritazione cutanea.</w:t>
              <w:b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P305+P351+P338 - IN CASO DI CONTATTO CON GLI OCCHI: sciacquare accuratamente per parecchi minuti. Togliere le eventuali lenti a contatto se è agevole farlo. Continuare a sciacquare.</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sostanza con dei valori limite nazionali di esposizione professionale (IT); sostanza con un limite comunitario di esposizione sul posto di lavoro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Non classificato</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2,6-dimethyloct-7-en-2-ol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STOT SE 3, H336</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2050-08-0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br/>
              <w:t>Aquatic Chronic 3, H412</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p-mentha-1,4-diene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99-85-4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202-794-6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Repr. 2, H361</w:t>
              <w:br/>
              <w:t>Asp. Tox. 1, H304</w:t>
              <w:br/>
              <w:t>Aquatic Chronic 2, H411</w:t>
            </w:r>
          </w:p>
        </w:tc>
      </w:tr>
      <w:tr w14:paraId="73AD14F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Cyclohexanemethanol, 4-(1-methylethyl)-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5502-75-0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939-719-8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50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Irrit. 2, H315</w:t>
              <w:br/>
              <w:t>Skin Sens. 1, H317</w:t>
              <w:br/>
              <w:t>Aquatic Acute 1, H400</w:t>
              <w:br/>
              <w:t>Aquatic Chronic 3, H412</w:t>
            </w:r>
          </w:p>
        </w:tc>
      </w:tr>
      <w:tr w14:paraId="73AD150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7-methyl-3-methyleneocta-1,6-diene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123-35-3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204-622-5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Eye Irrit. 2, H319</w:t>
              <w:br/>
              <w:t>Asp. Tox. 1, H304</w:t>
              <w:br/>
              <w:t>Aquatic Acute 1, H400</w:t>
              <w:br/>
              <w:t>Aquatic Chronic 2, H411</w:t>
            </w:r>
          </w:p>
        </w:tc>
      </w:tr>
      <w:tr w14:paraId="73AD150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50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50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p-mentha-1,4(8)-diène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Eye Irrit. 2, H319</w:t>
              <w:br/>
              <w:t>Skin Sens. 1B, H317</w:t>
              <w:br/>
              <w:t>Asp. Tox. 1, H304</w:t>
              <w:b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Nessuno(a) in condizioni normali.</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Irritazione. 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Nessuno(a) in condizioni normali.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Acqua nebulizzata. Polvere secca. Schiuma. Anidride carbonica.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Bloccare la perdita se non c’è pericolo. 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Allontanare il personale non necessario. Bloccare la perdita se non c’è pericolo.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Raccogliere il materiale fuoriuscito. Trattenere eventuali fuoriuscite con argini o assorbenti per evitare dispersioni o penetrazioni nelle fogne o nei corsi d’acqua. Bloccare la fuoruscita, se possibile senza rischi.</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Assorbire il liquido fuoriuscito con materiale assorbente.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Indossare un dispositivo di protezione individuale. Evitare di respirare la polvere/i fumi/i gas/la nebbia/i vapori/gli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Lavare gli indumenti contaminati prima di indossarli nuovamente. Gli indumenti da lavoro contaminati non devono essere portati fuori dal luogo di lavoro.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B077C8" w:rsidRPr="0069446B" w:rsidP="00B077C8" w14:paraId="76C830A6" w14:textId="7C05BC4C">
      <w:pPr>
        <w:pStyle w:val="SDSTextHeading3"/>
        <w:rPr>
          <w:noProof w:val="0"/>
          <w:color w:val="auto"/>
          <w:lang w:val="en-US"/>
        </w:rPr>
      </w:pPr>
      <w:r w:rsidRPr="0069446B">
        <w:rPr>
          <w:noProof/>
          <w:color w:val="auto"/>
          <w:lang w:val="en-US"/>
        </w:rPr>
        <w:t>Valori limite nazionali di esposizione professionale e biologici</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Valore Limite Indicativo di Esposizione Professionale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Osservazione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Italia - Valori limite di esposizione professionale</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(2-metossimetiletossi)-propanolo</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Osservazione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Cute</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Allegato XXXVIII del D.Lgs. 9 aprile 2008, n. 81 e s.m.i. (D.Lgs. 4 settembre 2024, n. 135)</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Dispositivi di protezione individuale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Indossare i dispositivi di protezione individuale raccomandati.</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Simbolo(i) Dispositivi di Protezione Individuale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Guanti di prote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Occhiali di sicure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Usare indumenti protettivi ada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Protezione degli occhi e del volto</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Protezione degli occhi</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Occhiali di sicurezza</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Protezione della pelle</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Protezione della pelle e del corpo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Usare indumenti protettivi adatti</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Protezione delle mani</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Guanti di protezione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Giallo. Verde. Arancia.</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Non disponibile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Non disponibile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75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Non disponibile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Non disponibile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0,939</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Non disponibile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Caratteristiche delle particelle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geranyl acetate (105-87-3)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6330 mg/kg di peso corporeo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pentyl salicylate (2050-08-0)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2000 mg/kg di peso corporeo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19020 mg/kg di peso corporeo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di peso corporeo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di peso corporeo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di peso corporeo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p-mentha-1,4-diene (99-85-4)</w:t>
            </w:r>
          </w:p>
        </w:tc>
      </w:tr>
      <w:tr w14:paraId="02D6B5B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Cyclohexanemethanol, 4-(1-methylethyl)- (5502-75-0)</w:t>
            </w:r>
          </w:p>
        </w:tc>
      </w:tr>
      <w:tr w14:paraId="02D6B5B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10000 mg/kg di peso corporeo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B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di peso corporeo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7"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7-methyl-3-methyleneocta-1,6-diene (123-35-3)</w:t>
            </w:r>
          </w:p>
        </w:tc>
      </w:tr>
      <w:tr w14:paraId="02D6B5B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11390 mg/kg di peso corporeo Animal: rat</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&gt; 3380 mg/kg di peso corporeo Animal: mouse</w:t>
            </w:r>
          </w:p>
        </w:tc>
      </w:tr>
      <w:tr w14:paraId="6700D31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8"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B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9"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B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Guideline: OECD Guideline 401 (Acute Oral Toxicity)</w:t>
            </w:r>
          </w:p>
        </w:tc>
      </w:tr>
      <w:tr w14:paraId="14A1065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p-mentha-1,4(8)-diène (586-62-9)</w:t>
            </w:r>
          </w:p>
        </w:tc>
      </w:tr>
      <w:tr w14:paraId="02D6B5B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sidR="00FA7F7F">
              <w:rPr>
                <w:noProof/>
              </w:rPr>
              <w:t>Provoca irritazione cutanea.</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pentyl salicylate (2050-08-0)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540 mg/kg di peso corporeo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180 mg/kg di peso corporeo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di peso corporeo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7"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D"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 mg/kg di peso corporeo Animal: rat, Animal sex: male, Guideline: OECD Guideline 415 [One-Generation Reproduction Toxicity Study (before 9 October 2017)]</w:t>
            </w:r>
          </w:p>
        </w:tc>
      </w:tr>
      <w:tr w14:paraId="7F5CEB61"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di peso corporeo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8"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p-mentha-1,4-diene (99-85-4)</w:t>
            </w:r>
          </w:p>
        </w:tc>
      </w:tr>
      <w:tr w14:paraId="08D78BF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250 mg/kg di peso corporeo Animal: rat, Animal sex: male, Guideline: OECD Guideline 422 (Combined Repeated Dose Toxicity Study with the Reproduction / Developmental Toxicity Screening Test)</w:t>
            </w:r>
          </w:p>
        </w:tc>
      </w:tr>
      <w:tr w14:paraId="7F5CEB6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di peso corporeo Animal: rat, Animal sex: female, Guideline: OECD Guideline 422 (Combined Repeated Dose Toxicity Study with the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(animale/maschio,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250 mg/kg di peso corporeo Animal: rat, Animal sex: male, Guideline: OECD Guideline 422 (Combined Repeated Dose Toxicity Study with the Reproduction / Developmental Toxicity Screening Test)</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(animale/femmina,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100 mg/kg di peso corporeo Animal: rat, Animal sex: female, Guideline: OECD Guideline 422 (Combined Repeated Dose Toxicity Study with the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9"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atrarate (4707-47-5)</w:t>
            </w:r>
          </w:p>
        </w:tc>
      </w:tr>
      <w:tr w14:paraId="08D78BF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 717 mg/kg di peso corporeo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6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 1175 mg/kg di peso corporeo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A"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p-mentha-1,4(8)-diène (586-62-9)</w:t>
            </w:r>
          </w:p>
        </w:tc>
      </w:tr>
      <w:tr w14:paraId="08D78C0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294,6 mg/kg di peso corporeo Animal: rat, Animal sex: male, Guideline: OECD Guideline 422 (Combined Repeated Dose Toxicity Study with the Reproduction / Developmental Toxicity Screening Test)</w:t>
            </w:r>
          </w:p>
        </w:tc>
      </w:tr>
      <w:tr w14:paraId="7F5CEB64"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di peso corporeo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2,6-dimethyloct-7-en-2-ol (18479-58-8)</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provocare sonnolenza o vertigini.</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di peso corporeo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Cyclohexanemethanol, 4-(1-methylethyl)- (5502-75-0)</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1"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7-methyl-3-methyleneocta-1,6-diene (123-35-3)</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250 mg/kg di peso corporeo Animal: rat, Guideline: OECD Guideline 408 (Repeated Dose 90-Day Oral Toxicity Study in Rodents)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500 mg/kg di peso corporeo Animal: mouse, Animal sex: male, Guideline: OECD Guideline 408 (Repeated Dose 90-Day Oral Toxicity Study in Rodents)</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250 mg/kg di peso corporeo Animal: mouse, Animal sex: female,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2"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di peso corporeo Animal: mouse, Animal sex: male, Guideline: other:</w:t>
            </w:r>
          </w:p>
        </w:tc>
      </w:tr>
      <w:tr w14:paraId="72CFCC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di peso corporeo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Informazioni su altri pericoli</w:t>
      </w:r>
      <w:bookmarkEnd w:id="4"/>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geranyl acetate (105-87-3)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68,12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pentyl salicylate (2050-08-0)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0,88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Altri organismi acquatici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2,6-dimethyloct-7-en-2-ol (18479-58-8)</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0,7024487 mg/l Test organisms (species): Desmodesmus subspicatus (previous name: Scenedesmus subspicatus)</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p-mentha-1,4-diene (99-85-4)</w:t>
            </w:r>
          </w:p>
        </w:tc>
      </w:tr>
      <w:tr w14:paraId="758D63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10,189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10,82 mg/l Test organisms (species): Scenedesmus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Cyclohexanemethanol, 4-(1-methylethyl)- (5502-75-0)</w:t>
            </w:r>
          </w:p>
        </w:tc>
      </w:tr>
      <w:tr w14:paraId="562CCB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13 mg/l Test organisms (species): Daphnia magna</w:t>
            </w:r>
          </w:p>
        </w:tc>
      </w:tr>
      <w:tr w14:paraId="66FAA3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7-methyl-3-methyleneocta-1,6-diene (123-35-3)</w:t>
            </w:r>
          </w:p>
        </w:tc>
      </w:tr>
      <w:tr w14:paraId="758D635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1,47 mg/l Test organisms (species): Daphnia magna</w:t>
            </w:r>
          </w:p>
        </w:tc>
      </w:tr>
      <w:tr w14:paraId="66FAA3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0,342 mg/l Test organisms (species): Raphidocelis subcapitata (previous names: Pseudokirchneriella subcapitata, Selenastrum capricornutum)</w:t>
            </w:r>
          </w:p>
        </w:tc>
      </w:tr>
      <w:tr w14:paraId="14947BF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5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p-mentha-1,4(8)-diène (586-62-9)</w:t>
            </w:r>
          </w:p>
        </w:tc>
      </w:tr>
      <w:tr w14:paraId="562CC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5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Profumo per auto - Black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geranyl acetate (105-87-3)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pentyl salicylate (2050-08-0)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2,6-dimethyloct-7-en-2-ol (18479-58-8)</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pin-2(10)-ene (127-91-3)</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p-mentha-1,4-diene (99-85-4)</w:t>
            </w:r>
          </w:p>
        </w:tc>
      </w:tr>
      <w:tr w14:paraId="2D6A99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Cyclohexanemethanol, 4-(1-methylethyl)- (5502-75-0)</w:t>
            </w:r>
          </w:p>
        </w:tc>
      </w:tr>
      <w:tr w14:paraId="2D6A99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7-methyl-3-methyleneocta-1,6-diene (123-35-3)</w:t>
            </w:r>
          </w:p>
        </w:tc>
      </w:tr>
      <w:tr w14:paraId="2D6A99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p-mentha-1,4(8)-diène (586-62-9)</w:t>
            </w:r>
          </w:p>
        </w:tc>
      </w:tr>
      <w:tr w14:paraId="2D6A99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5"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LIQUIDA,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LIQUIDA,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LIQUIDA,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Marchio per una sostanza pericolosa per l’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Marchio per una sostanza pericolosa per l’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Marchio per una sostanza pericolosa per l’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Marchio per una sostanza pericolosa per l’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9" name="" descr="Marchio per una sostanza pericolosa per l’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Si</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1"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p-mentha-1,4-diene ; 7-methyl-3-methyleneocta-1,6-diene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Profumo per auto - Black Car ; geranyl acetate ; linalyl acetate ; pentyl salicylate ; acetyl cedrene ; d-limonene ; 2,6-dimethyloct-7-en-2-ol ; linalool ; Sandal Mysore core ; cyclamen aldehyde ; p-mentha-1,4-diene ; Cyclohexanemethanol, 4-(1-methylethyl)- ; 7-methyl-3-methyleneocta-1,6-diene ; Eugenol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geranyl acetate ; pentyl salicylate ; acetyl cedrene ; d-limonene ; 1,3,4,6,7,8-hexahydro-4,6,6,7,8,8-hexamethylindeno[5,6-c]pyran ; Sandal Mysore core ; cyclamen aldehyde ; p-mentha-1,4-diene ; Cyclohexanemethanol, 4-(1-methylethyl)- ; 7-methyl-3-methyleneocta-1,6-diene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Narcosi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sonnolenza o vertigini.</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H315</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06/07/2026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06/07/2026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Profumo per auto - Black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Profumo per auto - Black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secondo il Regolamento REACH (CE) 1907/2006 modificato dal Regolamento (UE) 2020/878</w:t>
          </w:r>
        </w:p>
        <w:p w:rsidR="009C6C12" w:rsidRPr="008F5B08" w:rsidP="008F5B08" w14:paraId="31267F45" w14:textId="67A5CBF0">
          <w:pPr>
            <w:pStyle w:val="SDSTableTextHeader"/>
          </w:pPr>
          <w:r>
            <w:rPr>
              <w:noProof/>
            </w:rPr>
            <w:t>Data di pubblicazione: 06/07/2026   Versione: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eader" Target="header3.xml"/><Relationship Id="rId8" Type="http://schemas.openxmlformats.org/officeDocument/2006/relationships/image" Target="media/image3.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2.xml"/><Relationship Id="rId7" Type="http://schemas.openxmlformats.org/officeDocument/2006/relationships/image" Target="media/image2.png"/><Relationship Id="rId16"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4.xml"/><Relationship Id="rId15" Type="http://schemas.openxmlformats.org/officeDocument/2006/relationships/header" Target="header2.xml"/><Relationship Id="rId5" Type="http://schemas.openxmlformats.org/officeDocument/2006/relationships/hyperlink" Target="mailto:office@labsys.fr" TargetMode="External"/><Relationship Id="rId23"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footer" Target="footer3.xml"/><Relationship Id="rId14" Type="http://schemas.openxmlformats.org/officeDocument/2006/relationships/header" Target="head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84B9835-5E66-4E86-B879-8A24F3383EDC}"/>
</file>

<file path=customXml/itemProps3.xml><?xml version="1.0" encoding="utf-8"?>
<ds:datastoreItem xmlns:ds="http://schemas.openxmlformats.org/officeDocument/2006/customXml" ds:itemID="{D5FE625A-B0FF-49DB-B163-E1B1A23E230C}"/>
</file>

<file path=customXml/itemProps4.xml><?xml version="1.0" encoding="utf-8"?>
<ds:datastoreItem xmlns:ds="http://schemas.openxmlformats.org/officeDocument/2006/customXml" ds:itemID="{465C9FBE-645D-4CDC-8305-4F3A9B7319BE}"/>
</file>

<file path=docProps/app.xml><?xml version="1.0" encoding="utf-8"?>
<Properties xmlns="http://schemas.openxmlformats.org/officeDocument/2006/extended-properties" xmlns:vt="http://schemas.openxmlformats.org/officeDocument/2006/docPropsVTypes">
  <Template>Normal</Template>
  <TotalTime>219</TotalTime>
  <Pages>24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