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Nebulizzatore profumato al monoï 3%</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Nebbia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 – 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(ATE=1580 mg/kg di peso corporeo)</w:t>
              <w:br/>
              <w:t>Eye Irrit. 2, H319</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Nessuno(a) in condizioni normali.</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Nessuno(a) in condizioni normali.</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Acqua nebulizzata. Polvere secca. Schiuma. Anidride carbonica.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Bloccare la perdita se non c’è pericolo. 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Allontanare il personale non necessario. Bloccare la perdita se non c’è pericolo.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Assorbire ogni prodotto fuoriuscito con sabbia o terra. Trattenere eventuali fuoriuscite con argini o assorbenti per evitare dispersioni o penetrazioni nelle fogne o nei corsi d’acqua. Bloccare la fuoruscita, se possibile senza rischi.</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Assorbire il liquido fuoriuscito con materiale assorbente.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Soave.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Non disponibile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Non disponibile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Non disponibile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Non disponibile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Non disponibile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1</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Non disponibile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Caratteristiche delle particelle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Nebulizzatore profumato al monoï 3%</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Nebulizzatore profumato al monoï 3%</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0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Nebulizzatore profumato al monoï 3%</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secondo il Regolamento REACH (CE) 1907/2006 modificato dal Regolamento (UE) 2020/878</w:t>
          </w:r>
        </w:p>
        <w:p w:rsidR="009C6C12" w:rsidRPr="008F5B08" w:rsidP="008F5B08" w14:paraId="31267F45" w14:textId="67A5CBF0">
          <w:pPr>
            <w:pStyle w:val="SDSTableTextHeader"/>
          </w:pPr>
          <w:r>
            <w:rPr>
              <w:noProof/>
            </w:rPr>
            <w:t>Data di pubblicazione: 30/06/2026   Versione: 2.0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01A37F8-7FBB-49C2-A66A-E3FAF200070C}"/>
</file>

<file path=customXml/itemProps3.xml><?xml version="1.0" encoding="utf-8"?>
<ds:datastoreItem xmlns:ds="http://schemas.openxmlformats.org/officeDocument/2006/customXml" ds:itemID="{30178CA8-63B1-4477-877B-9000CFCF52D5}"/>
</file>

<file path=customXml/itemProps4.xml><?xml version="1.0" encoding="utf-8"?>
<ds:datastoreItem xmlns:ds="http://schemas.openxmlformats.org/officeDocument/2006/customXml" ds:itemID="{4E2B6C18-29EA-489B-B3E0-F76812EA7CE3}"/>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