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santal précieux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Provoca grave irritazione oculare.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Provoca grave irritazione oculare.</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P305+P351+P338 - IN CASO DI CONTATTO CON GLI OCCHI: sciacquare accuratamente per parecchi minuti. Togliere le eventuali lenti a contatto se è agevole farlo. Continuare a sciacquare.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di peso corporeo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CINNAMAL.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piatti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piatti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831545-2B3C-4243-86C9-67A1571CD985}"/>
</file>

<file path=customXml/itemProps3.xml><?xml version="1.0" encoding="utf-8"?>
<ds:datastoreItem xmlns:ds="http://schemas.openxmlformats.org/officeDocument/2006/customXml" ds:itemID="{548771C4-7D66-4960-A884-DC578E66B66C}"/>
</file>

<file path=customXml/itemProps4.xml><?xml version="1.0" encoding="utf-8"?>
<ds:datastoreItem xmlns:ds="http://schemas.openxmlformats.org/officeDocument/2006/customXml" ds:itemID="{3CBCAADC-C882-48E0-B013-6EDA0A7BF15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