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pavimenti - Cocktail fruité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per la pulizia dei pavimenti</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Tenere fuori dalla portata dei bambini.</w:t>
              <w:br/>
              <w:t>P101 - In caso di consultazione di un medico, tenere a disposizione il contenitore o l’etichetta del prodotto.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TETRAMETHYL ACETYLOCTAHYDRONAPHTHALENES,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pavimenti - Cocktail fruité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TETRAMETHYL ACETYLOCTAHYDRONAPHTHALENES,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pavimenti - Cocktail fruité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pavimenti - Cocktail fruité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E5FB711-91F7-4690-9099-E602FC46B075}"/>
</file>

<file path=customXml/itemProps3.xml><?xml version="1.0" encoding="utf-8"?>
<ds:datastoreItem xmlns:ds="http://schemas.openxmlformats.org/officeDocument/2006/customXml" ds:itemID="{BC08B2DB-9589-4AA7-8AD3-B55D62CEBB60}"/>
</file>

<file path=customXml/itemProps4.xml><?xml version="1.0" encoding="utf-8"?>
<ds:datastoreItem xmlns:ds="http://schemas.openxmlformats.org/officeDocument/2006/customXml" ds:itemID="{74251256-5B8E-41CA-ADF9-3C4F870E6D5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