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liquido - fleur de cachemire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liquido destinato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ROSE KETONE 4 (DAMASCONE), BENZYL SALICYLATE, METHYL IONONES, CITRONELLOL, linalyl acetate, HEXYL CINNAMAL, linalool, ACETYL CEDRENE.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Anche se non sono stati definiti rischi specifici, gli addetti al primo soccorso devono indossare una protezione per gli occhi, guanti e semimaschera monouso. Se c'è il rischio di esposizione ripetuta o prolungata, è opportuno considerare una protezione aggiuntiva.</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di peso corporeo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di peso corporeo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di peso corporeo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liquido - fleur de cachemire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benzyl salicylate ; alpha-iso-methylionone ; citronellol ; linalyl acetate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ROSE KETONE 4 (DAMASCONE), BENZYL SALICYLATE, METHYL IONONES, CITRONELLOL, linalyl acetate, HEXYL CINNAMAL, linalool, ACETYL CEDRENE.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liquido - fleur de cachemire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liquido - fleur de cachemire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947BE42-EFA5-49DC-BD08-90E17774511F}"/>
</file>

<file path=customXml/itemProps3.xml><?xml version="1.0" encoding="utf-8"?>
<ds:datastoreItem xmlns:ds="http://schemas.openxmlformats.org/officeDocument/2006/customXml" ds:itemID="{6B19FC07-E613-41DE-805D-75DCD7634B72}"/>
</file>

<file path=customXml/itemProps4.xml><?xml version="1.0" encoding="utf-8"?>
<ds:datastoreItem xmlns:ds="http://schemas.openxmlformats.org/officeDocument/2006/customXml" ds:itemID="{36904DC5-6DE6-4CDF-9427-749D638FECB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