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violette des bois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linalool;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Ionone, methyl- (1335-46-2)</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Ionone, methyl- (1335-46-2)</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Ionone, 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1335-46-2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215-635-0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Verde. Viola.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Ionone, methyl- (1335-46-2)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423 (Acute Oral toxicity - Acute Toxic Class Method), Guideline: EU Method B.1 (Acute Toxicity (Oral))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violette des bois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Ionone, methyl- (1335-46-2)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1,57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9,42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violette des bois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Ionone, methyl- (1335-46-2)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Ionone, methyl- (1335-46-2)</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Ionone, methyl- (1335-46-2)</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linalool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violette des bois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violette des bois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31/07/2026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0310BD-3A7A-457D-80D8-423B92543E09}"/>
</file>

<file path=customXml/itemProps3.xml><?xml version="1.0" encoding="utf-8"?>
<ds:datastoreItem xmlns:ds="http://schemas.openxmlformats.org/officeDocument/2006/customXml" ds:itemID="{BBB8C6F6-654D-492C-AE3B-0D97CA1E6C6A}"/>
</file>

<file path=customXml/itemProps4.xml><?xml version="1.0" encoding="utf-8"?>
<ds:datastoreItem xmlns:ds="http://schemas.openxmlformats.org/officeDocument/2006/customXml" ds:itemID="{31DC3582-DED2-437D-BBBC-AEB1F7B7A7B0}"/>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