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vin chaud de noel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etere metilico di cedro</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Alimentare.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vin chaud de noel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vin chaud de noel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Eugenol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vin chaud de noel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vin chaud de noel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03/09/2026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93F945F-9E1F-4535-B389-FA8C3A99E150}"/>
</file>

<file path=customXml/itemProps3.xml><?xml version="1.0" encoding="utf-8"?>
<ds:datastoreItem xmlns:ds="http://schemas.openxmlformats.org/officeDocument/2006/customXml" ds:itemID="{432AA496-6345-4503-B826-F0AA12D70CC8}"/>
</file>

<file path=customXml/itemProps4.xml><?xml version="1.0" encoding="utf-8"?>
<ds:datastoreItem xmlns:ds="http://schemas.openxmlformats.org/officeDocument/2006/customXml" ds:itemID="{3458F5F4-ADB3-4E2A-AB6B-A583C9163A8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