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vieux rhum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(per inalazione), H332 (ATE=1,5 mg/l/4h)</w:t>
              <w:br/>
              <w:t>Skin Irrit. 2, H315</w:t>
              <w:br/>
              <w:t>Eye Dam. 1, H318</w:t>
              <w:br/>
              <w:t>STOT SE 3, H335</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Isoamyl alcohol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3-metil-1-butanolo (Alcool isoamilico)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caratteristico. Fresco.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isoamyl alcohol (123-51-3)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di peso corporeo Animal: rat, Animal sex: male, Guideline: OECD Guideline 443 (Extended One-Generation Reproductive Toxicity Study)</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1521 mg/kg di peso corporeo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isoamyl alcohol (123-51-3)</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vieux rhum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isoamyl alcohol (123-51-3)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120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173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vieux rhum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vieux rhum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vieux rhum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17/07/2026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B80B49-4305-4204-A670-7A024BBE5837}"/>
</file>

<file path=customXml/itemProps3.xml><?xml version="1.0" encoding="utf-8"?>
<ds:datastoreItem xmlns:ds="http://schemas.openxmlformats.org/officeDocument/2006/customXml" ds:itemID="{D63940A6-8113-476F-AA5D-6A8EC07AACD2}"/>
</file>

<file path=customXml/itemProps4.xml><?xml version="1.0" encoding="utf-8"?>
<ds:datastoreItem xmlns:ds="http://schemas.openxmlformats.org/officeDocument/2006/customXml" ds:itemID="{F1887A62-0FA6-432C-9A24-490C4C76D16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