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vieux rhum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(per inalazione), H332 (ATE=1,5 mg/l/4h)</w:t>
              <w:br/>
              <w:t>Skin Irrit. 2, H315</w:t>
              <w:br/>
              <w:t>Eye Dam. 1, H318</w:t>
              <w:br/>
              <w:t>STOT SE 3, H335</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Isoamyl alcohol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3-metil-1-butanolo (Alcool isoamilico)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caratteristico. Fresco. Legnoso.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isoamyl alcohol (123-51-3)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di peso corporeo Animal: rat, Animal sex: male, Guideline: OECD Guideline 443 (Extended One-Generation Reproductive Toxicity Study)</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1521 mg/kg di peso corporeo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isoamyl alcohol (123-51-3)</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vieux rhum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isoamyl alcohol (123-51-3)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120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173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vieux rhum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vieux rhum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vieux rhum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17/07/2026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8E89F15-465C-4BF6-9690-840BD1EF12C9}"/>
</file>

<file path=customXml/itemProps3.xml><?xml version="1.0" encoding="utf-8"?>
<ds:datastoreItem xmlns:ds="http://schemas.openxmlformats.org/officeDocument/2006/customXml" ds:itemID="{14DE243F-6412-43F0-99CA-B84E8216C934}"/>
</file>

<file path=customXml/itemProps4.xml><?xml version="1.0" encoding="utf-8"?>
<ds:datastoreItem xmlns:ds="http://schemas.openxmlformats.org/officeDocument/2006/customXml" ds:itemID="{8F40C736-BCEB-4710-9F09-8CFE459B4F9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