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tomate et basilic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CINNAMAL, pin-2(10)-ene, Isoeugenolo, 2,4-dimetilcicloes-3-en-1-carbaldeide, EUGENOL, linalool.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Verde. Floreale.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di peso corporeo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di peso corporeo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tomate et basilic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tomate et basilic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cinnamaldehyde (104-55-2)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cinnamaldehyde ; isoeugenol ; 2,4-dimethylcyclohex-3-ene-1-carbaldehyde ; Eugenol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 ; 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CINNAMAL, pin-2(10)-ene, Isoeugenolo, 2,4-dimetilcicloes-3-en-1-carbaldeide, EUGENOL, linalool.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tomate et basilic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tomate et basilic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11/06/2026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D858F3D-061D-4C55-9CB4-22B275572339}"/>
</file>

<file path=customXml/itemProps3.xml><?xml version="1.0" encoding="utf-8"?>
<ds:datastoreItem xmlns:ds="http://schemas.openxmlformats.org/officeDocument/2006/customXml" ds:itemID="{7F9717A0-51E7-452C-9BEB-BAC8948B108C}"/>
</file>

<file path=customXml/itemProps4.xml><?xml version="1.0" encoding="utf-8"?>
<ds:datastoreItem xmlns:ds="http://schemas.openxmlformats.org/officeDocument/2006/customXml" ds:itemID="{394910B7-29A2-4A17-8849-F9DC92ED09FF}"/>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