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thé noir et vanille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d-limonene;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(ATE=1580 mg/kg di peso corporeo)</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Piccante. Tabacco.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di peso corporeo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thé noir et vanille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thé noir et vanille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thé noir et vanille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thé noir et vanille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181CC08-014B-4252-8ACB-81472A5E8E6A}"/>
</file>

<file path=customXml/itemProps3.xml><?xml version="1.0" encoding="utf-8"?>
<ds:datastoreItem xmlns:ds="http://schemas.openxmlformats.org/officeDocument/2006/customXml" ds:itemID="{EAE9143F-239E-4C60-913A-9AE1C32AE3B4}"/>
</file>

<file path=customXml/itemProps4.xml><?xml version="1.0" encoding="utf-8"?>
<ds:datastoreItem xmlns:ds="http://schemas.openxmlformats.org/officeDocument/2006/customXml" ds:itemID="{DFEF355F-ACBA-40D0-842A-4C1BE9491FB1}"/>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