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talco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piperonal, geraniolo; (2E)-3,7-dimetilotta-2,6-dien-1-olo, hexyl salicylate, benzyl salicylate, coumarin, linalool, 3-methyl-4-(2,6,6-trimethyl-2-cyclohexen-1-yl)-3-buten-2-one.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piperonal (120-57-0)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2700 mg/kg di peso corporeo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piperonal (120-57-0)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talco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piperonal (120-57-0)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2,5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talco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piperonal (120-57-0)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piperonal, geraniolo; (2E)-3,7-dimetilotta-2,6-dien-1-olo, hexyl salicylate, benzyl salicylate, coumarin, linalool, 3-methyl-4-(2,6,6-trimethyl-2-cyclohexen-1-yl)-3-buten-2-one.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talco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talco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06/07/2026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910F042-D72E-4881-83F5-0038E588909A}"/>
</file>

<file path=customXml/itemProps3.xml><?xml version="1.0" encoding="utf-8"?>
<ds:datastoreItem xmlns:ds="http://schemas.openxmlformats.org/officeDocument/2006/customXml" ds:itemID="{D9928B65-0F2A-4A15-8A38-DE616B7E8EBF}"/>
</file>

<file path=customXml/itemProps4.xml><?xml version="1.0" encoding="utf-8"?>
<ds:datastoreItem xmlns:ds="http://schemas.openxmlformats.org/officeDocument/2006/customXml" ds:itemID="{B8DBA76C-8511-40E2-A08F-A6192869972F}"/>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