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spiced pumpkin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coumarin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no. REACH</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(ATE=1230 mg/kg di peso corporeo)</w:t>
              <w:br/>
              <w:t>Acute Tox. 4 (per inalazione), H332 (ATE=5000 mg/m³)</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Ambra.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di peso corporeo</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2000 mg/kg</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cutanea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2000 mg/kg di peso corporeo</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Inalazione - Ratto (Polvere/nebbia)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&gt; 4000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Inalazione - Ratto (Vapori)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spiced pumpkin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Altri organismi acquatici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230 mg/l waterflea</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500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spiced pumpkin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benzyl alcohol (100-51-6)</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1,1</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12/05/2026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12/05/2026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spiced pumpkin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spiced pumpkin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12/05/2026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950956A-8F0F-4570-9F5C-879D5440953B}"/>
</file>

<file path=customXml/itemProps3.xml><?xml version="1.0" encoding="utf-8"?>
<ds:datastoreItem xmlns:ds="http://schemas.openxmlformats.org/officeDocument/2006/customXml" ds:itemID="{79719CFF-4DAD-4204-8AEE-D1CDC8165CA1}"/>
</file>

<file path=customXml/itemProps4.xml><?xml version="1.0" encoding="utf-8"?>
<ds:datastoreItem xmlns:ds="http://schemas.openxmlformats.org/officeDocument/2006/customXml" ds:itemID="{688BE056-BDFD-4AE4-B339-E3E27D25FAC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