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speculoos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0,53655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butanedione</w:t>
            </w:r>
          </w:p>
          <w:p w:rsidR="00827634" w:rsidRPr="0069446B" w:rsidP="009B0F88" w14:paraId="147D3D58" w14:textId="33B2CEBF">
            <w:pPr>
              <w:pStyle w:val="SDSTableTextNormal"/>
              <w:rPr>
                <w:noProof w:val="0"/>
              </w:rPr>
            </w:pPr>
            <w:r w:rsidRPr="0069446B">
              <w:rPr>
                <w:noProof/>
              </w:rPr>
              <w:t>sostanza con dei valori limite nazionali di esposizione professionale (IT); sostanza con un limite comunitario di esposizione sul posto di lavoro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431-03-8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207-069-8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(per via orale), H302 (ATE=500 mg/kg di peso corporeo)</w:t>
              <w:br/>
              <w:t>Acute Tox. 3 (per inalazione), H331</w:t>
              <w:br/>
              <w:t>Skin Irrit. 2, H315</w:t>
              <w:br/>
              <w:t>Eye Dam. 1, H318</w:t>
              <w:br/>
              <w:t>Skin Sens. 1, H317</w:t>
              <w:br/>
              <w:t>STOT RE 2, H373</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B077C8" w:rsidRPr="0069446B" w:rsidP="00B077C8" w14:paraId="76C830A6" w14:textId="7C05BC4C">
      <w:pPr>
        <w:pStyle w:val="SDSTextHeading3"/>
        <w:rPr>
          <w:noProof w:val="0"/>
          <w:color w:val="auto"/>
          <w:lang w:val="en-US"/>
        </w:rPr>
      </w:pPr>
      <w:r w:rsidRPr="0069446B">
        <w:rPr>
          <w:noProof/>
          <w:color w:val="auto"/>
          <w:lang w:val="en-US"/>
        </w:rPr>
        <w:t>Valori limite nazionali di esposizione professionale e biologici</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butanedione</w:t>
            </w:r>
            <w:r w:rsidRPr="0069446B">
              <w:rPr>
                <w:noProof w:val="0"/>
                <w:color w:val="auto"/>
              </w:rPr>
              <w:t xml:space="preserve"> </w:t>
            </w:r>
            <w:r w:rsidRPr="0069446B" w:rsidR="00FD53E4">
              <w:rPr>
                <w:noProof/>
                <w:color w:val="auto"/>
              </w:rPr>
              <w:t>(431-03-8)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UE - Valore Limite Indicativo di Esposizione Professionale (IOEL)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Nome locale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Diacetyl; Butanedione</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3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3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Riferimento normativo</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Italia - Valori limite di esposizione professionale</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Nome locale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Diacetile (Butanedione)</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Riferimento normativo</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Allegato XXXVIII del D.Lgs. 9 aprile 2008, n. 81 e s.m.i. (D.Lgs. 4 settembre 2024, n. 135)</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Vaniglia. Piccante.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di peso corporeo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di peso corporeo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butanedione (431-03-8)</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Pr>
                <w:noProof/>
              </w:rPr>
              <w:t>Tossicità specifica per organi bersaglio (STOT) — esposizione ripetuta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Pr>
                <w:noProof/>
              </w:rPr>
              <w:t>Può provocare danni agli organi in caso di esposizione prolungata o ripetuta.</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speculoos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Informazioni su altri pericoli</w:t>
      </w:r>
      <w:bookmarkEnd w:id="3"/>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speculoos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butanedione (431-03-8)</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4"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cinnamaldehyde ; benzaldehyde ; 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cinnamaldehyde ; benzaldehyde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cutanea),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 esposizione ripetuta, categoria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facilmente infiammabili.</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se inalato.</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danni agli organi in caso di esposizione prolungata o ripetuta.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21/09/2026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21/09/2026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speculoos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speculoos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21/09/2026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418FCC1-9C69-4165-B447-29F61A7CE61A}"/>
</file>

<file path=customXml/itemProps3.xml><?xml version="1.0" encoding="utf-8"?>
<ds:datastoreItem xmlns:ds="http://schemas.openxmlformats.org/officeDocument/2006/customXml" ds:itemID="{92FA50A9-8882-4326-A08F-46BCD8E0CBAB}"/>
</file>

<file path=customXml/itemProps4.xml><?xml version="1.0" encoding="utf-8"?>
<ds:datastoreItem xmlns:ds="http://schemas.openxmlformats.org/officeDocument/2006/customXml" ds:itemID="{136E8549-07C8-43D7-B863-374C6EF77E01}"/>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