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savon de Marseille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DIPHENYL ETHER, linalool, linalyl acetate, CITRONELLAL, coumarin, cineole, geraniolo; (2E)-3,7-dimetilotta-2,6-dien-1-olo, ISOBORNEOL, EUGENOL.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Arancione. Floreale.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savon de Marseille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savon de Marseille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Terpineol, acetate (8007-35-0)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DIPHENYL ETHER, linalool, linalyl acetate, CITRONELLAL, coumarin, cineole, geraniolo; (2E)-3,7-dimetilotta-2,6-dien-1-olo, ISOBORNEOL, EUGENOL.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savon de Marseille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savon de Marseille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4479FA9-6447-4D94-9208-CAAC8F5F0789}"/>
</file>

<file path=customXml/itemProps3.xml><?xml version="1.0" encoding="utf-8"?>
<ds:datastoreItem xmlns:ds="http://schemas.openxmlformats.org/officeDocument/2006/customXml" ds:itemID="{4DF2213D-668B-4D3C-8D16-CA90AE9F7582}"/>
</file>

<file path=customXml/itemProps4.xml><?xml version="1.0" encoding="utf-8"?>
<ds:datastoreItem xmlns:ds="http://schemas.openxmlformats.org/officeDocument/2006/customXml" ds:itemID="{10D6313B-EE03-40B7-AA24-FF4DC7D7F2D3}"/>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