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rose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Pericoloso per l’ambiente acquatico – Pericolo cronico, categoria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Nocivo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Nocivo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P273 - Non disperdere nell’ambiente.</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METHYLENEDIOXYPHENYL METHYLPROPANAL, LIMONENE, citronellol, 1-(1,2,3,4,5,6,7,8-octahydro-2,3,8,8-tetramethyl-2-naphthyl)ethan-1-one, linalool.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ethylene brassylate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105-95-3</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203-347-8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0,1477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0,1463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α-methyl-1,3-benzodioxole-5-propionaldehyde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1205-17-0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214-881-6</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605-042-00-9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Repr. 2, H361</w:t>
              <w:br/>
              <w:t>Aquatic Chronic 2, H411</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3-(5,5,6-trimethylbicyclo[2.2.1]hept-2-yl)cyclohexan-1-ol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3407-42-9</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209-667-4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Repr. 2, H361</w:t>
              <w:br/>
              <w:t>Aquatic Acute 1, H400</w:t>
              <w:br/>
              <w:t>Aquatic Chronic 2, H411</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0,1239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Fruttato. rugiada. Muschio.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α-methyl-1,3-benzodioxole-5-propionaldehyde (1205-17-0)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di peso corporeo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di peso corporeo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ethylene brassylate (105-95-3)</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di peso corporeo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di peso corporeo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di peso corporeo Animal: mouse, Guideline: OECD Guideline 401 (Acute Oral Toxicity), 95% CL: 2620 - 3620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di peso corporeo Animal: rabbit, Guideline: OECD Guideline 402 (Acute Dermal Toxicity), 95% CL: 3578 - 8374</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α-methyl-1,3-benzodioxole-5-propionaldehyde (1205-17-0)</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(animale/maschio,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750 mg/kg di peso corporeo Animal: rat, Animal sex: male, Guideline: OECD Guideline 422 (Combined Repeated Dose Toxicity Study with the Reproduction / Developmental Toxicity Screening Test)</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100 mg/kg di peso corporeo Animal: rat, Animal sex: female, Guideline: OECD Guideline 422 (Combined Repeated Dose Toxicity Study with the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d-limonene (5989-27-5)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600 mg/kg di peso corporeo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ethylene brassylate (105-95-3)</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1000 mg/kg di peso corporeo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rose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Nocivo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α-methyl-1,3-benzodioxole-5-propionaldehyde (1205-17-0)</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5,3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8,3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28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Crostacei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ethylene brassylate (105-95-3)</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1,23 mg/l Test organisms (species): Danio rerio (previous name: Brachydanio rerio)</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Pr>
                <w:noProof/>
              </w:rPr>
              <w:t>2,13 mg/l Test organisms (species): Danio rerio (previous name: Brachydanio rerio)</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6,94 mg/l Test organisms (species): Desmodesmus subspicatus (previous name: Scenedesmus subspicatus)</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14,579 mg/l Test organisms (species): Desmodesmus subspicatus (previous name: Scenedesmus subspicatus)</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0,788 mg/l Test organisms (species): other:</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rose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α-methyl-1,3-benzodioxole-5-propionaldehyde (1205-17-0)</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citronellol (106-22-9)</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ethylene brassylate (105-95-3)</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3-(5,5,6-trimethylbicyclo[2.2.1]hept-2-yl)cyclohexan-1-ol (3407-42-9)</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α-methyl-1,3-benzodioxole-5-propionaldehyde ; d-limonene ; linalool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2.1 a 2.4, 2.6 e 2.7, 2.8 tipi A e B, 2.9, 2.10, 2.12, 2.13 categorie 1 e 2, 2.14 categorie 1 e 2, 2.15 tipi da A a F</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α-methyl-1,3-benzodioxole-5-propionaldehyde ; d-limonene ; ethylene brassylate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Pericoloso per l’ambiente acquatico – Pericolo acuto, categoria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 in caso di aspirazione, categoria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Liquidi infiammabili, categoria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per la riproduzione, categoria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Liquido e vapori infiammabili.</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essere letale in caso di ingestione e di penetrazione nelle vie respiratorie.</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Sospettato di nuocere alla fertilità o al feto.</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METHYLENEDIOXYPHENYL METHYLPROPANAL, LIMONENE, citronellol, 1-(1,2,3,4,5,6,7,8-octahydro-2,3,8,8-tetramethyl-2-naphthyl)ethan-1-one, linalool. Può provocare una reazione allergica.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30/07/2026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30/07/2026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rose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rose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30/07/2026   Versione: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E2422DBB-FF03-405F-8DFC-E5F3C8BC4D3B}"/>
</file>

<file path=customXml/itemProps3.xml><?xml version="1.0" encoding="utf-8"?>
<ds:datastoreItem xmlns:ds="http://schemas.openxmlformats.org/officeDocument/2006/customXml" ds:itemID="{66D26364-2A8B-42BC-9036-CF2D60AF183D}"/>
</file>

<file path=customXml/itemProps4.xml><?xml version="1.0" encoding="utf-8"?>
<ds:datastoreItem xmlns:ds="http://schemas.openxmlformats.org/officeDocument/2006/customXml" ds:itemID="{5F41EF7D-9D53-44E8-A0E3-566A6D94D22D}"/>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