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rose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METHYLENEDIOXYPHENYL METHYLPROPANAL, LIMONENE, citronellol, 1-(1,2,3,4,5,6,7,8-octahydro-2,3,8,8-tetramethyl-2-naphthyl)ethan-1-one, linalool.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ethylene brassylate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203-347-8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214-881-6</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3-(5,5,6-trimethylbicyclo[2.2.1]hept-2-yl)cyclohexan-1-ol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3407-42-9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209-667-4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Repr. 2, H361</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Fruttato. rugiada. Muschio.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ethylene brassylate (105-95-3)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di peso corporeo Animal: rat, Animal sex: female, Guideline: OECD Guideline 422 (Combined Repeated Dose Toxicity Study with the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ethylene brassylate (105-95-3)</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rose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ethylene brassylate (105-95-3)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1,23 mg/l Test organisms (species): Danio rerio (previous name: Brachydanio rerio)</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2,13 mg/l Test organisms (species): Danio rerio (previous name: Brachydanio rerio)</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6,94 mg/l Test organisms (species): Desmodesmus subspicatus (previous name: Scenedesmus subspicatus)</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14,579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0,788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rose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ethylene brassylate (105-95-3)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3-(5,5,6-trimethylbicyclo[2.2.1]hept-2-yl)cyclohexan-1-ol (3407-42-9)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α-methyl-1,3-benzodioxole-5-propionaldehyde ; d-limonene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α-methyl-1,3-benzodioxole-5-propionaldehyde ; d-limonene ; ethylene brassylate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METHYLENEDIOXYPHENYL METHYLPROPANAL, LIMONENE, citronellol, 1-(1,2,3,4,5,6,7,8-octahydro-2,3,8,8-tetramethyl-2-naphthyl)ethan-1-one, linalool.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rose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rose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30/07/2026   Versione: 4.0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3DF41D5-9E4B-4F45-B1FD-EE535F5F5967}"/>
</file>

<file path=customXml/itemProps3.xml><?xml version="1.0" encoding="utf-8"?>
<ds:datastoreItem xmlns:ds="http://schemas.openxmlformats.org/officeDocument/2006/customXml" ds:itemID="{7CEC6A15-8669-4F27-9F92-D2887A793D93}"/>
</file>

<file path=customXml/itemProps4.xml><?xml version="1.0" encoding="utf-8"?>
<ds:datastoreItem xmlns:ds="http://schemas.openxmlformats.org/officeDocument/2006/customXml" ds:itemID="{4FD76241-941E-4996-9315-60C3BEC00088}"/>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