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pistache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SALICYLATE, HELIOTROPINE, CITRAL, HELIOTROPINE, COUMARIN, HEXYL SALICYLATE, ISOAMYL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Non classificato</w:t>
              <w:br/>
              <w:t>Aquatic Acute 1, H400 (M=1)</w:t>
              <w:br/>
              <w:t>Aquatic Chronic 1, H410 (M=1)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Fruttato.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di peso corporeo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di peso corporeo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di peso corporeo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benzaldehyde ; citral ; 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r w14:paraId="23D538E1"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(esposizione ripetuta) Non classificato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 feto.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SALICYLATE, HELIOTROPINE, CITRAL, HELIOTROPINE, COUMARIN, HEXYL SALICYLATE, ISOAMYL SALICYLATE.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5D88FA8-E6B1-4067-B0D1-4F6FBE91C9F9}"/>
</file>

<file path=customXml/itemProps3.xml><?xml version="1.0" encoding="utf-8"?>
<ds:datastoreItem xmlns:ds="http://schemas.openxmlformats.org/officeDocument/2006/customXml" ds:itemID="{AA323122-18CA-41B1-82B7-0FD4E6F772D7}"/>
</file>

<file path=customXml/itemProps4.xml><?xml version="1.0" encoding="utf-8"?>
<ds:datastoreItem xmlns:ds="http://schemas.openxmlformats.org/officeDocument/2006/customXml" ds:itemID="{776C45A6-4332-4016-80DE-CEDFF5E6CCE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