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oud eternel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(ethoxymethoxy)cyclododecane; linalyl acetate; α-hexylcinnamaldehyde; etere metilico di cedro; 1-(1,2,3,4,5,6,7,8-octahydro-2,3,8,8-tetramethyl-2-naphthyl)ethan-1-one; d-limonene; 4-tert-butylcyclohexyl acetate;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H411 - Tossico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P391 - Raccogliere il materiale fuoriuscito.</w:t>
              <w:br/>
              <w:t>P501 - Smaltire il prodotto/recipiente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A55330">
              <w:rPr>
                <w:noProof/>
              </w:rPr>
              <w:t>etere metilico di cedro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Acute 1, H400</w:t>
              <w:br/>
              <w:t>Aquatic Chronic 2, H411</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(per via orale), H301 (ATE=218 mg/kg di peso corporeo)</w:t>
              <w:br/>
              <w:t>Acute Tox. 3 (per via cutanea), H311 (ATE=810 mg/kg di peso corporeo)</w:t>
              <w:br/>
              <w:t>Aquatic Acute 1, H400 (M=10)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Raccogliere il materiale fuoriuscito.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Hesperidaceae. Ambra.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Non disponibile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 Animal sex: male,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di peso corporeo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di peso corporeo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di peso corporeo Animal: rat, Animal sex: female, Guideline: OECD Guideline 422 (Combined Repeated Dose Toxicity Study with the Reproduction / Developmental Toxicity Screening Test),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oud eternel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Tossico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oud eternel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etere metilico di cedro (19870-74-7)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SOLIDA,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MATERIA PERICOLOSA PER L'AMBIENTE, SOLIDA, N.A.S.,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MATERIA PERICOLOSA PER L'AMBIENTE, SOLIDA,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MATERIA PERICOLOSA PER L'AMBIENTE, SOLIDA,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Marchio per una sostanza pericolosa per l’ambient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Marchio per una sostanza pericolosa per l’ambient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Marchio per una sostanza pericolosa per l’ambient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Marchio per una sostanza pericolosa per l’ambient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Marchio per una sostanza pericolosa per l’ambient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Si</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Disposizioni speciali di trasporto -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Conservazione e manipolazione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Requisiti aggiuntivi/Osservazioni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Solo allo stato fuso. ** Per il trasporto alla rinfusa vedi anche 7.1.4.1. *** Solo in caso di trasporto alla rinfusa.</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Disposizioni speciali di trasporto -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heptanoate ; (ethoxymethoxy)cyclododecane ; linalyl acetate ; d-limonene ; 4-tert-butylcyclohexyl acetate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allyl heptanoate ; (ethoxymethoxy)cyclododecane ; d-limonene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se ingerito.</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contatto con la pelle.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oud eternel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oud eternel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17/04/2026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11592A0-28BA-4080-B1ED-1C15660D0035}"/>
</file>

<file path=customXml/itemProps3.xml><?xml version="1.0" encoding="utf-8"?>
<ds:datastoreItem xmlns:ds="http://schemas.openxmlformats.org/officeDocument/2006/customXml" ds:itemID="{352C829C-E5E6-4781-9B48-570B9FDFC414}"/>
</file>

<file path=customXml/itemProps4.xml><?xml version="1.0" encoding="utf-8"?>
<ds:datastoreItem xmlns:ds="http://schemas.openxmlformats.org/officeDocument/2006/customXml" ds:itemID="{4F86091D-783A-46DF-B861-0A316158651E}"/>
</file>

<file path=docProps/app.xml><?xml version="1.0" encoding="utf-8"?>
<Properties xmlns="http://schemas.openxmlformats.org/officeDocument/2006/extended-properties" xmlns:vt="http://schemas.openxmlformats.org/officeDocument/2006/docPropsVTypes">
  <Template>Normal</Template>
  <TotalTime>219</TotalTime>
  <Pages>17</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