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orientale et encens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isoeugenol; cinnamyl alcohol; Eugenol; (E)-anethole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(ATE=2000 mg/kg di peso corporeo)</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Piccante. Anice. Vaniglia.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di peso corporeo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di peso corporeo Animal: rat, 95% CL: 2090 -</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di peso corporeo Animal: rabbit, Guideline: EU Method B.3 (Acute Toxicity (Dermal))</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 5,1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orientale et encens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orientale et encens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cinnamaldehyde (104-55-2)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cinnamaldehyde ; isoeugenol ; anisaldehyde ; cinnamyl alcohol ; Eugenol ; (E)-anethole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cinnamaldehyde ; anisaldehyde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orientale et encens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orientale et encens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19/06/2026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88F02C6-3D89-4C4A-9617-9DED6CE4E671}"/>
</file>

<file path=customXml/itemProps3.xml><?xml version="1.0" encoding="utf-8"?>
<ds:datastoreItem xmlns:ds="http://schemas.openxmlformats.org/officeDocument/2006/customXml" ds:itemID="{F1EF70E3-06C6-41E9-A703-B82C448BD5A3}"/>
</file>

<file path=customXml/itemProps4.xml><?xml version="1.0" encoding="utf-8"?>
<ds:datastoreItem xmlns:ds="http://schemas.openxmlformats.org/officeDocument/2006/customXml" ds:itemID="{F13F3D10-7A25-4754-83E2-6C5DC0FD5F3C}"/>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