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orchidée noire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benzyl salicylate; 3,7-dimethyloctan-3-ol;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Muschio. Legnoso. Piccante. Floreale. Fruttato.</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di peso corporeo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di peso corporeo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(dermico,ratto/coniglio,90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di peso corporeo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orchidée noire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orchidée noire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3,7-dimethyloctan-3-ol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orchidée noire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orchidée noire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21/05/2026   Versione: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E450FAD-3D5A-468B-B0A5-D1852E15F778}"/>
</file>

<file path=customXml/itemProps3.xml><?xml version="1.0" encoding="utf-8"?>
<ds:datastoreItem xmlns:ds="http://schemas.openxmlformats.org/officeDocument/2006/customXml" ds:itemID="{A9ADF040-A470-4DCD-8885-7B46F5BBF97A}"/>
</file>

<file path=customXml/itemProps4.xml><?xml version="1.0" encoding="utf-8"?>
<ds:datastoreItem xmlns:ds="http://schemas.openxmlformats.org/officeDocument/2006/customXml" ds:itemID="{0FE26481-6645-4422-A6E9-144DAEC6AD7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