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noble oud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methyl palmitate; α-hexylcinnamaldehyde; benzyl salicylate; 1-(1,2,3,4,5,6,7,8-octahydro-2,3,8,8-tetramethyl-2-naphthyl)ethan-1-one; 4-tert-butylcyclohexyl acetate;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1,2383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Pelle. Legnoso. Orientale. balsamico.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di peso corporeo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di peso corporeo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di peso corporeo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di peso corporeo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noble oud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noble oud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noble oud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noble oud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08AE8C4-7D80-4F99-B579-FFF7B9A2504B}"/>
</file>

<file path=customXml/itemProps3.xml><?xml version="1.0" encoding="utf-8"?>
<ds:datastoreItem xmlns:ds="http://schemas.openxmlformats.org/officeDocument/2006/customXml" ds:itemID="{F306AF4C-61BD-4B0B-AD5E-DE2B481A4BAB}"/>
</file>

<file path=customXml/itemProps4.xml><?xml version="1.0" encoding="utf-8"?>
<ds:datastoreItem xmlns:ds="http://schemas.openxmlformats.org/officeDocument/2006/customXml" ds:itemID="{0FBEC2F2-F3AD-4109-8605-A1DBE3D9A652}"/>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