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noble oud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Provoca irritazione cutanea. Può provocare una reazione allergica cutanea. Provoca grave irritazione oculare. Molto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4-tert-butylcyclohexyl acetate; benzyl salicylate; methyl palmitate; α-hexylcinnamaldehyde; coumarin; cashmeran;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Eliminare il contenuto/contenitore in ... (... in conformità con la normativa locale/regionale/nazionale o internazionale).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Irritazione. 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Indossare un dispositivo di protezione individuale. Evitare di respirare la polvere/i fumi/i gas/la nebbia/i vapori/gli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Lavare gli indumenti contaminati prima di indossarli nuovamente. Gli indumenti da lavoro contaminati non devono essere portati fuori dal luogo di lavoro.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Piccante. Pelle. Legnoso. balsamico.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di peso corporeo Animal: rat, Animal sex: female, Guideline: OECD Guideline 401 (Acute Oral Toxicity), 95% CL: 2043 - 3529</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di peso corporeo Animal: rat, Animal sex: male, Guideline: OECD Guideline 421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1875 mg/kg di peso corporeo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(animale/maschio,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di peso corporeo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noble oud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Molto 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noble oud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MATERIA PERICOLOSA PER L'AMBIENTE, SOLIDA, N.A.S.,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Disposizioni speciali di trasporto -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noble oud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noble oud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27/04/2026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C65C9E1-3629-4271-B670-55EA0CB03F6F}"/>
</file>

<file path=customXml/itemProps3.xml><?xml version="1.0" encoding="utf-8"?>
<ds:datastoreItem xmlns:ds="http://schemas.openxmlformats.org/officeDocument/2006/customXml" ds:itemID="{FD3251F5-E29B-4DEE-9C9A-FDFDE9ECFCC5}"/>
</file>

<file path=customXml/itemProps4.xml><?xml version="1.0" encoding="utf-8"?>
<ds:datastoreItem xmlns:ds="http://schemas.openxmlformats.org/officeDocument/2006/customXml" ds:itemID="{C3053B1A-AC82-4D02-8773-94025912AF18}"/>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