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musc blanc et coco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2-benzylideneheptanal, pentadecan-15-olide, coumarin, 3-methyl-4-(2,6,6-trimethyl-2-cyclohexen-1-yl)-3-buten-2-one.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122-40-7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musc blanc et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musc blanc et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2-benzylideneheptanal, pentadecan-15-olide, coumarin, 3-methyl-4-(2,6,6-trimethyl-2-cyclohexen-1-yl)-3-buten-2-one.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musc blanc et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musc blanc et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18/05/2026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49C2F6C-BD82-4BEA-9FB2-BD84C22C434D}"/>
</file>

<file path=customXml/itemProps3.xml><?xml version="1.0" encoding="utf-8"?>
<ds:datastoreItem xmlns:ds="http://schemas.openxmlformats.org/officeDocument/2006/customXml" ds:itemID="{6DB8DD44-9A6B-4026-A792-F46967F7CD69}"/>
</file>

<file path=customXml/itemProps4.xml><?xml version="1.0" encoding="utf-8"?>
<ds:datastoreItem xmlns:ds="http://schemas.openxmlformats.org/officeDocument/2006/customXml" ds:itemID="{76013B5E-DDDB-4EEA-89B3-7C8B5D312534}"/>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