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monoï rosé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geranyl acetate; geraniolo; benzyl salicylate; linalool; linalyl acetate;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1,1907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1,1424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0,5159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Arancione.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di peso corporeo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geraniolo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di peso corporeo Animal: rat, Animal sex: male, Guideline: OECD Guideline 401 (Acute Oral Toxicity), 95% CL: 3400 - 5600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di peso corporeo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geraniolo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monoï rosé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geraniolo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monoï rosé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geranyl acetate (105-87-3)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geraniolo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geraniolo ; benzyl salicylate ; linalool ; linalyl acetate ; d-limonene ; nerol ; [3R-(3α,3aβ,6α,7β,8aα)]-octahydro-3,6,8,8-tetramethyl-1H-3a,7-methanoazulen-5-yl acetate ; p-methoxybenzyl acetate ; 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monoï rosé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monoï rosé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30/07/2026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C1DB60E-4B1E-42E7-A37B-4429132F83F8}"/>
</file>

<file path=customXml/itemProps3.xml><?xml version="1.0" encoding="utf-8"?>
<ds:datastoreItem xmlns:ds="http://schemas.openxmlformats.org/officeDocument/2006/customXml" ds:itemID="{E8908593-4D46-4E09-B22B-FFDC2CD8BF30}"/>
</file>

<file path=customXml/itemProps4.xml><?xml version="1.0" encoding="utf-8"?>
<ds:datastoreItem xmlns:ds="http://schemas.openxmlformats.org/officeDocument/2006/customXml" ds:itemID="{E71F58D0-AB49-44EA-806B-9E18CAB03187}"/>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