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monoï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grave irritazione oculare.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geraniolo; (2E)-3,7-dimetilotta-2,6-dien-1-olo, α-hexylcinnamaldehyde, HEXYL SALICYLATE, 2-benzylideneheptanal, acetyl cedrene, 3,7,11-trimethyldodeca-1,6,10-trien-3-ol,mixed isomers, benzyl salicylate, ISOEUGENOL, cis-4-(isopropyl)cyclohexanemethanol.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Vaniglia. Arancione.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di peso corporeo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di peso corporeo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di peso corporeo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monoï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monoï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isoeugenol ; linalool ; linalyl acetate ; geraniolo ; 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geraniolo; (2E)-3,7-dimetilotta-2,6-dien-1-olo, α-hexylcinnamaldehyde, HEXYL SALICYLATE, 2-benzylideneheptanal, acetyl cedrene, 3,7,11-trimethyldodeca-1,6,10-trien-3-ol,mixed isomers, benzyl salicylate, ISOEUGENOL, cis-4-(isopropyl)cyclohexanemethanol.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monoï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monoï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AAE78D-4A92-49A3-AE5D-8D5AAF10BE3C}"/>
</file>

<file path=customXml/itemProps3.xml><?xml version="1.0" encoding="utf-8"?>
<ds:datastoreItem xmlns:ds="http://schemas.openxmlformats.org/officeDocument/2006/customXml" ds:itemID="{9FC00097-C569-4A0E-BAB4-6051CE7E2EAD}"/>
</file>

<file path=customXml/itemProps4.xml><?xml version="1.0" encoding="utf-8"?>
<ds:datastoreItem xmlns:ds="http://schemas.openxmlformats.org/officeDocument/2006/customXml" ds:itemID="{DAE47801-6224-4297-9CED-83691CE3A244}"/>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