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monoï coco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benzyl alcohol; 7-hydroxycitronellal; linalool; coumarin; α-hexylcinnamaldehyde;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(ATE=1570 mg/kg)</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Fruttato. tuberosa. cocco.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monoï coco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monoï coco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7-hydroxycitronellal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monoï coco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monoï coco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26/06/2026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DFA48F4-861C-45DF-954D-35AB3705A340}"/>
</file>

<file path=customXml/itemProps3.xml><?xml version="1.0" encoding="utf-8"?>
<ds:datastoreItem xmlns:ds="http://schemas.openxmlformats.org/officeDocument/2006/customXml" ds:itemID="{8CEE1C71-788B-42A3-83AC-DE8233374475}"/>
</file>

<file path=customXml/itemProps4.xml><?xml version="1.0" encoding="utf-8"?>
<ds:datastoreItem xmlns:ds="http://schemas.openxmlformats.org/officeDocument/2006/customXml" ds:itemID="{5A5E0D70-EF8A-4F9A-95D4-925C6A75B3A4}"/>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