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monoi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Sensibilizzazione cutanea, categoria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Pericoloso per l’ambiente acquatico – Pericolo cronico, categoria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Provoca irritazione cutanea. Può provocare una reazione allergica cutanea. Provoca gravi lesioni oculari. Tossico per gli organismi acquatici con effetti di lunga durata.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Pittogrammi di pericoli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Avvertenza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Attenzione</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cinnamaldehyde; α-hexylcinnamaldehyde; geraniolo; 7-hydroxycitronellal; linalyl acetate; benzyl salicylate; 3-methyl-4-(2,6,6-trimethyl-2-cyclohexen-1-yl)-3-buten-2-one; linalool; 2-benzylideneheptanal; Alcool benzylique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Può provocare una reazione allergica cutanea.</w:t>
              <w:br/>
              <w:t>H412 - Nocivo per gli organismi acquatici con effetti di lunga durata.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P273 - Non disperdere nell’ambiente.</w:t>
              <w:br/>
              <w:t>P333+P313 - In caso di irritazione o eruzione della pelle: Consultare un medico.</w:t>
              <w:br/>
              <w:t>P501 - Smaltire il prodotto e recipiente in un centro di smistamento, in conformità con la normativa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Componente</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Sostanza(e) non inclusa(e) nell'elenco stabilito in conformità all'Articolo 59, Paragrafo 1 del REACH per avere proprietà di interferenza endocrina, o non identificata(e) come avente(i) proprietà di interferenza endocrina in conformità ai criteri stabiliti nel Regolamento Delegato (UE) 2017/2100 della Commissione o nel Regolamento (UE) 2018/605 della Commissione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Pr>
                <w:noProof/>
              </w:rPr>
              <w:t>methyl salicylate (119-36-8), geraniolo (106-24-1)</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101-86-0</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1,37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br/>
              <w:t>Aquatic Acute 1, H400</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140-11-4</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205-399-7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1,318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2-benzylideneheptanal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122-40-7</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204-541-5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1,275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2, H411</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1,273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0,727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204-262-9</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607-754-00-5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0,545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3-methyl-4-(2,6,6-trimethyl-2-cyclohexen-1-yl)-3-buten-2-one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127-51-5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204-846-3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0,273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br/>
              <w:t>Aquatic Chronic 2, H411</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methyl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119-36-8</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204-317-7</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607-749-00-8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(ATE=887 mg/kg di peso corporeo)</w:t>
              <w:br/>
              <w:t>Eye Dam. 1, H318</w:t>
              <w:br/>
              <w:t>Repr. 2, H361</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Alcool benzylique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100-51-6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202-859-9</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(ATE=1580 mg/kg di peso corporeo)</w:t>
              <w:br/>
              <w:t>Acute Tox. 4 (per inalazione), H332 (ATE=1,5 mg/l/4h)</w:t>
              <w:br/>
              <w:t>Eye Irrit. 2, H319</w:t>
              <w:br/>
              <w:t>Skin Sens. 1B, H317</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8"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geraniolo</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203-377-1</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r w14:paraId="73AD14F9"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cutanea), H312 (ATE=1260 mg/kg di peso corporeo)</w:t>
              <w:br/>
              <w:t>Skin Irrit. 2, H315</w:t>
              <w:br/>
              <w:t>Eye Irrit. 2, H319</w:t>
              <w:br/>
              <w:t>Skin Sens. 1A, H317</w:t>
              <w:br/>
              <w:t>Aquatic Chronic 3, H412</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Limiti di concentrazione specifici</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Identificatore del prodotto</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Limiti di concentrazione specifici</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Lavare la pelle con acqua abbondante. Togliere gli indumenti contaminati. In caso di irritazione o eruzione della pelle: consultare un medico.</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Sciacquare accuratamente per parecchi minuti. Togliere le eventuali lenti a contatto se è agevole farlo. Continuare a sciacquare. Chiamare immediatamente un medico.</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Irritazione. Può provocare una reazione allergica cutanea.</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Gravi danni agli occhi.</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Ventilare la zona del riversamento. Evitare il contatto con gli occhi e con la pelle. Evitare di respirare la polvere/i fumi/i gas/la nebbia/i vapori/gli aerosol.</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sidR="00FA7F7F">
              <w:rPr>
                <w:noProof/>
                <w:lang w:val="fr-BE"/>
              </w:rPr>
              <w:t>Raccogliere il materiale fuoriuscito.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Evitare il contatto con gli occhi e con la pelle. Indossare un dispositivo di protezione individuale. Evitare di respirare la polvere/i fumi/i gas/la nebbia/i vapori/gli aerosol.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Lavare gli indumenti contaminati prima di indossarli nuovamente. Gli indumenti da lavoro contaminati non devono essere portati fuori dal luogo di lavoro. 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cocco. tuberosa. Fruttato. Floreale.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cinnamaldehyde (104-55-2)</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2220 mg/kg di peso corporeo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di peso corporeo Animal: guinea pig,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di peso corporeo Animal: rat, Guideline: OECD Guideline 402 (Acute Dermal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1260 mg/kg di peso corporeo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CL50 Inalazione - Ratto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geraniolo (106-24-1)</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3600 mg/kg di peso corporeo Animal: rat, 95% CL: 2840 - 4570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7-hydroxycitronellal (107-75-5)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6400 mg/kg di peso corporeo Animal: rat, Guideline: OECD Guideline 401 (Acute Oral Toxicity)</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9000 mg/kg di peso corporeo Animal: rat</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methyl salicylate (119-36-8)</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887 mg/kg di peso corporeo Animal: rat, Guideline: OECD Guideline 401 (Acute Oral Toxicity), 95% CL: 715 - 1100</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1060 mg/kg di peso corporeo Animal: guinea pig, Guideline: OECD Guideline 401 (Acute Oral Toxicity), 95% CL: 873 - 1300</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3-methyl-4-(2,6,6-trimethyl-2-cyclohexen-1-yl)-3-buten-2-one (127-51-5)</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di peso corporeo Animal: rat, Animal sex: female, Guideline: OECD Guideline 423 (Acute Oral toxicity - Acute Toxic Class Method)</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di peso corporeo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F"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di peso corporeo Animal: rat, Guideline: OECD Guideline 401 (Acute Oral Toxicity), 95% CL: 2440 - 3180</w:t>
            </w:r>
          </w:p>
        </w:tc>
      </w:tr>
      <w:tr w14:paraId="512A600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3120 mg/kg di peso corporeo Animal: mouse, Guideline: OECD Guideline 401 (Acute Oral Toxicity), 95% CL: 2620 - 3620</w:t>
            </w:r>
          </w:p>
        </w:tc>
      </w:tr>
      <w:tr w14:paraId="6700D317"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di peso corporeo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2-benzylideneheptanal (122-40-7)</w:t>
            </w:r>
          </w:p>
        </w:tc>
      </w:tr>
      <w:tr w14:paraId="02D6B5B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3730 mg/kg di peso corporeo Animal: rat, Guideline: OECD Guideline 401 (Acute Oral Toxicity), 95% CL: 3190 - 4370</w:t>
            </w:r>
          </w:p>
        </w:tc>
      </w:tr>
      <w:tr w14:paraId="14A1065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di peso corporeo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2"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Alcool benzylique (100-51-6)</w:t>
            </w:r>
          </w:p>
        </w:tc>
      </w:tr>
      <w:tr w14:paraId="512A600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1580 mg/kg di peso corporeo Animal: mouse, Guideline: OECD Guideline 401 (Acute Oral Toxicity), 95% CL: 1410 - 1770</w:t>
            </w:r>
          </w:p>
        </w:tc>
      </w:tr>
      <w:tr w14:paraId="6700D31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di peso corporeo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Inalazione -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3-methyl-4-(2,6,6-trimethyl-2-cyclohexen-1-yl)-3-buten-2-one (127-51-5)</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5,44 Temp.: 30 °C Concentration: 1 other</w:t>
            </w:r>
            <w:r w:rsidRPr="0069446B">
              <w:rPr>
                <w:rFonts w:hint="eastAsia"/>
                <w:noProof/>
                <w:lang w:eastAsia="ja-JP"/>
              </w:rPr>
              <w:t>:</w:t>
            </w:r>
          </w:p>
        </w:tc>
      </w:tr>
    </w:tbl>
    <w:p w:rsidR="00A7593A" w:rsidRPr="0069446B" w:rsidP="009215A8" w14:textId="78B4B17E">
      <w:pPr>
        <w:pStyle w:val="SDSTextBlankLine"/>
      </w:pPr>
    </w:p>
    <w:tbl>
      <w:tblPr>
        <w:tblStyle w:val="SDSTableWithBordersWithHeaderRow"/>
        <w:tblW w:w="10489" w:type="dxa"/>
        <w:tblLayout w:type="fixed"/>
        <w:tblLook w:val="0020"/>
      </w:tblPr>
      <w:tblGrid>
        <w:gridCol w:w="3969"/>
        <w:gridCol w:w="6520"/>
      </w:tblGrid>
      <w:tr w14:paraId="6428FA58"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textId="112EF6DE">
            <w:pPr>
              <w:pStyle w:val="SDSTableTextHeading1"/>
              <w:rPr>
                <w:noProof w:val="0"/>
                <w:color w:val="auto"/>
              </w:rPr>
            </w:pPr>
            <w:r w:rsidRPr="0069446B" w:rsidR="00FA7F7F">
              <w:rPr>
                <w:noProof/>
                <w:color w:val="auto"/>
              </w:rPr>
              <w:t>2-benzylideneheptanal (122-40-7)</w:t>
            </w:r>
          </w:p>
        </w:tc>
      </w:tr>
      <w:tr w14:paraId="6CC585F6"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textId="4EE742AD">
            <w:pPr>
              <w:pStyle w:val="SDSTableTextNormal"/>
              <w:rPr>
                <w:noProof w:val="0"/>
              </w:rPr>
            </w:pPr>
            <w:r w:rsidRPr="0069446B" w:rsidR="00FA7F7F">
              <w:rPr>
                <w:noProof/>
                <w:lang w:eastAsia="ja-JP"/>
              </w:rPr>
              <w:t>4,53 Temp.: 26,8 °C Concentration: 1 vol</w:t>
            </w:r>
            <w:r w:rsidRPr="0069446B">
              <w:rPr>
                <w:rFonts w:hint="eastAsia"/>
                <w:noProof/>
                <w:lang w:eastAsia="ja-JP"/>
              </w:rPr>
              <w: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3-methyl-4-(2,6,6-trimethyl-2-cyclohexen-1-yl)-3-buten-2-one (127-51-5)</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5,44 Temp.: 30 °C Concentration: 1 other</w:t>
            </w:r>
            <w:r w:rsidRPr="0069446B">
              <w:rPr>
                <w:rFonts w:hint="eastAsia"/>
                <w:noProof/>
                <w:lang w:eastAsia="ja-JP"/>
              </w:rPr>
              <w:t>:</w:t>
            </w:r>
          </w:p>
        </w:tc>
      </w:tr>
    </w:tbl>
    <w:p w:rsidR="00A7593A" w:rsidRPr="0069446B" w:rsidP="009215A8" w14:textId="6455FAA7">
      <w:pPr>
        <w:pStyle w:val="SDSTextBlankLine"/>
      </w:pPr>
    </w:p>
    <w:tbl>
      <w:tblPr>
        <w:tblStyle w:val="SDSTableWithBordersWithHeaderRow"/>
        <w:tblW w:w="10489" w:type="dxa"/>
        <w:tblLayout w:type="fixed"/>
        <w:tblLook w:val="0020"/>
      </w:tblPr>
      <w:tblGrid>
        <w:gridCol w:w="3969"/>
        <w:gridCol w:w="6520"/>
      </w:tblGrid>
      <w:tr w14:paraId="4FDDC6C5"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textId="15263CC9">
            <w:pPr>
              <w:pStyle w:val="SDSTableTextHeading1"/>
              <w:rPr>
                <w:noProof w:val="0"/>
                <w:color w:val="auto"/>
              </w:rPr>
            </w:pPr>
            <w:r w:rsidRPr="0069446B" w:rsidR="00FA7F7F">
              <w:rPr>
                <w:noProof/>
                <w:color w:val="auto"/>
              </w:rPr>
              <w:t>2-benzylideneheptanal (122-40-7)</w:t>
            </w:r>
          </w:p>
        </w:tc>
      </w:tr>
      <w:tr w14:paraId="58CDE2D2"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textId="52E8F024">
            <w:pPr>
              <w:pStyle w:val="SDSTableTextNormal"/>
              <w:rPr>
                <w:noProof w:val="0"/>
              </w:rPr>
            </w:pPr>
            <w:r w:rsidRPr="0069446B" w:rsidR="00FA7F7F">
              <w:rPr>
                <w:noProof/>
                <w:lang w:eastAsia="ja-JP"/>
              </w:rPr>
              <w:t>4,53 Temp.: 26,8 °C Concentration: 1 vol</w:t>
            </w:r>
            <w:r w:rsidRPr="0069446B">
              <w:rPr>
                <w:rFonts w:hint="eastAsia"/>
                <w:noProof/>
                <w:lang w:eastAsia="ja-JP"/>
              </w:rPr>
              <w: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Può provocare una reazione allergica cutanea.</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geraniolo (106-24-1)</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(cronico,orale,animale/maschio,2 anni)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di peso corporeo Animal: mouse, Animal sex: male, Guideline: OECD Guideline 453 (Combined Chronic Toxicity / Carcinogenicity Studies)</w:t>
            </w:r>
          </w:p>
        </w:tc>
      </w:tr>
    </w:tbl>
    <w:p w:rsidR="00827634" w:rsidRPr="0069446B" w:rsidP="003E0104" w14:textId="0F48635D">
      <w:pPr>
        <w:pStyle w:val="SDSTextBlankLine"/>
      </w:pPr>
    </w:p>
    <w:tbl>
      <w:tblPr>
        <w:tblStyle w:val="SDSTableWithBordersWithHeaderRow"/>
        <w:tblW w:w="10489" w:type="dxa"/>
        <w:tblLayout w:type="fixed"/>
        <w:tblLook w:val="04A0"/>
      </w:tblPr>
      <w:tblGrid>
        <w:gridCol w:w="3969"/>
        <w:gridCol w:w="6520"/>
      </w:tblGrid>
      <w:tr w14:paraId="30ACEB52"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3F55FECE">
            <w:pPr>
              <w:pStyle w:val="SDSTableTextHeading1"/>
              <w:rPr>
                <w:noProof w:val="0"/>
                <w:color w:val="auto"/>
              </w:rPr>
            </w:pPr>
            <w:r w:rsidRPr="0069446B" w:rsidR="00FA7F7F">
              <w:rPr>
                <w:noProof/>
                <w:color w:val="auto"/>
              </w:rPr>
              <w:t>7-hydroxycitronellal (107-75-5)</w:t>
            </w:r>
          </w:p>
        </w:tc>
      </w:tr>
      <w:tr w14:paraId="095C82A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F4EB77">
            <w:pPr>
              <w:pStyle w:val="SDSTableTextNormal"/>
              <w:rPr>
                <w:noProof w:val="0"/>
              </w:rPr>
            </w:pPr>
            <w:r w:rsidRPr="0069446B" w:rsidR="00FA7F7F">
              <w:rPr>
                <w:noProof/>
              </w:rPr>
              <w:t>NOAEL (cronico,orale,animale/maschio,2 anni)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52C4C8">
            <w:pPr>
              <w:pStyle w:val="SDSTableTextNormal"/>
              <w:rPr>
                <w:noProof w:val="0"/>
              </w:rPr>
            </w:pPr>
            <w:r w:rsidRPr="0069446B">
              <w:rPr>
                <w:noProof/>
              </w:rPr>
              <w:t>60 mg/kg di peso corporeo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cinnamaldehyde (104-55-2)</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di peso corporeo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geraniolo (106-24-1)</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300 mg/kg di peso corporeo Animal: rat,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7-hydroxycitronellal (107-75-5)</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di peso corporeo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(subcronica,orale,animale/maschio,90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di peso corporeo Animal: mouse, Animal sex: male, Guideline: OECD Guideline 453 (Combined Chronic Toxicity / Carcinogenicity Studies)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methyl salicylate (119-36-8)</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sidR="00FA7F7F">
              <w:rPr>
                <w:noProof/>
                <w:lang w:val="fr-BE"/>
              </w:rPr>
              <w:t>50 mg/kg di peso corporeo Animal: rat</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E"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3-methyl-4-(2,6,6-trimethyl-2-cyclohexen-1-yl)-3-buten-2-one (127-51-5)</w:t>
            </w:r>
          </w:p>
        </w:tc>
      </w:tr>
      <w:tr w14:paraId="07CBBCD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30 mg/kg di peso corporeo Animal: rat, Animal sex: male, Guideline: OECD Guideline 408 (Repeated Dose 90-Day Oral Toxicity Study in Rodents)</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50 mg/kg di peso corporeo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F"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C0"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E0"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Alcool benzylique (100-51-6)</w:t>
            </w:r>
          </w:p>
        </w:tc>
      </w:tr>
      <w:tr w14:paraId="07CBBCD9"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400 mg/kg di peso corporeo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monoi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Alcool benzylique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Tossico per gli organismi acquatici con effetti di lunga durata.</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Nocivo per gli organismi acquatici con effetti di lunga durata.</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cinnamaldehyde (104-55-2)</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2,35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geraniolo (106-24-1)</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22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7-hydroxycitronellal (107-75-5)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31,6 mg/l Test organisms (species): Leuciscus idus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410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methyl salicylate (119-36-8)</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19,8 mg/l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1370 mg/l Test organisms (species): Pimephales promelas</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28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1,6 mg/l Test organisms (species): Desmodesmus subspicatus (previous name: Scenedesmus subspicatus)</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1,1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3-methyl-4-(2,6,6-trimethyl-2-cyclohexen-1-yl)-3-buten-2-one (127-51-5)</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10,9 mg/l Test organisms (species): Oncorhynchus mykiss (previous name: Salmo gairdneri)</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9 mg/l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20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2-benzylideneheptanal (122-40-7)</w:t>
            </w:r>
          </w:p>
        </w:tc>
      </w:tr>
      <w:tr w14:paraId="562CCB6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0,91 mg/l Test organisms (species): not specified</w:t>
            </w:r>
          </w:p>
        </w:tc>
      </w:tr>
      <w:tr w14:paraId="758D63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0,28 mg/l Test organisms (species): Daphnia sp.</w:t>
            </w:r>
          </w:p>
        </w:tc>
      </w:tr>
      <w:tr w14:paraId="66FAA3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1,5 mg/l Test organisms (species): not specified</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2,3 mg/l Test organisms (species): not specified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0,041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Alcool benzylique (100-51-6)</w:t>
            </w:r>
          </w:p>
        </w:tc>
      </w:tr>
      <w:tr w14:paraId="562CCB6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460 mg/l Test organisms (species): Pimephales promelas</w:t>
            </w:r>
          </w:p>
        </w:tc>
      </w:tr>
      <w:tr w14:paraId="758D63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230 mg/l Test organisms (species): Daphnia magna</w:t>
            </w:r>
          </w:p>
        </w:tc>
      </w:tr>
      <w:tr w14:paraId="66FAA36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76,828 mg/l Test organisms (species): other:</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48,897 mg/l Test organisms (species): other: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monoi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cinnamaldehyde (104-55-2)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geraniolo (106-24-1)</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methyl salicylate (119-36-8)</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3-methyl-4-(2,6,6-trimethyl-2-cyclohexen-1-yl)-3-buten-2-one (127-51-5)</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acetate (140-11-4)</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D"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2-benzylideneheptanal (122-40-7)</w:t>
            </w:r>
          </w:p>
        </w:tc>
      </w:tr>
      <w:tr w14:paraId="2D6A99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Alcool benzylique (100-51-6)</w:t>
            </w:r>
          </w:p>
        </w:tc>
      </w:tr>
      <w:tr w14:paraId="2D6A99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Codice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“Ecotossico”: rifiuto che presenta o può presentare rischi immediati o differiti per uno o più comparti ambientali.</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cinnamaldehyde ; geraniolo ; 7-hydroxycitronellal ; linalyl acetate ; benzyl salicylate ; methyl salicylate ; 3-methyl-4-(2,6,6-trimethyl-2-cyclohexen-1-yl)-3-buten-2-one ; linalool ; 2-benzylideneheptanal ; Alcool benzylique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cinnamaldehyde ; 3-methyl-4-(2,6,6-trimethyl-2-cyclohexen-1-yl)-3-buten-2-one ; 2-benzylideneheptanal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inalazione)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inalazione),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(per via cutanea)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acuta (per via cutanea), categoria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acuta (per via orale), categoria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acuto, categoria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per la riproduzione, categoria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1A</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contatto con la pelle.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gravi lesioni oculari.</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inalato.</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Sospettato di nuocere alla fertilità o al feto.</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29/05/2026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16</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16</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29/05/2026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16</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monoi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monoi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29/05/2026   Versione: 5.0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6821FC37-E088-46E7-BE53-5F24D4A626CF}"/>
</file>

<file path=customXml/itemProps3.xml><?xml version="1.0" encoding="utf-8"?>
<ds:datastoreItem xmlns:ds="http://schemas.openxmlformats.org/officeDocument/2006/customXml" ds:itemID="{738FDA60-7CB8-40EA-A00A-19045BF00000}"/>
</file>

<file path=customXml/itemProps4.xml><?xml version="1.0" encoding="utf-8"?>
<ds:datastoreItem xmlns:ds="http://schemas.openxmlformats.org/officeDocument/2006/customXml" ds:itemID="{6E0ACCD5-73DB-41E6-9255-FCA54B43E3CC}"/>
</file>

<file path=docProps/app.xml><?xml version="1.0" encoding="utf-8"?>
<Properties xmlns="http://schemas.openxmlformats.org/officeDocument/2006/extended-properties" xmlns:vt="http://schemas.openxmlformats.org/officeDocument/2006/docPropsVTypes">
  <Template>Normal</Template>
  <TotalTime>219</TotalTime>
  <Pages>16</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