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mojito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Può provocare una reazione allergica cutanea. 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l-p-mentha-1(6),8-dien-2-one; carvone; citral; linalool; d-limonene; 3,7-dimethylnona-1,6-dien-3-ol; terpinolene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b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5392-40-5</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226-394-6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1,608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terpinolene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586-62-9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209-578-0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Asp. Tox. 1, H304</w:t>
              <w:br/>
              <w:t>Aquatic Acute 1, H400</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10339-55-6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0,273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carvone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99-49-0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202-759-5</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606-148-00-8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l-p-mentha-1(6),8-dien-2-one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6485-40-1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229-352-5</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606-148-00-8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Hesperidaceae. Fruttato. Rurale.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l-p-mentha-1(6),8-dien-2-one (6485-40-1)</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other:</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6,45 mg/l air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terpinolene (586-62-9)</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female, Guideline: OECD Guideline 423 (Acute Oral toxicity - Acute Toxic Class Method)</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di peso corporeo Animal: rat, Animal sex: female,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l-p-mentha-1(6),8-dien-2-one (6485-40-1)</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5,62 Temp.: 26 °C</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l-p-mentha-1(6),8-dien-2-one (6485-40-1)</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5,62 Temp.: 26 °C</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di peso corporeo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terpinolene (586-62-9)</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(animale/maschio,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294,6 mg/kg di peso corporeo Animal: rat, Animal sex: male, Guideline: OECD Guideline 422 (Combined Repeated Dose Toxicity Study with the Reproduction / Developmental Toxicity Screening Test)</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161,5 mg/kg di peso corporeo Animal: rat, Animal sex: female, Guideline: OECD Guideline 422 (Combined Repeated Dose Toxicity Study with the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mojito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l-p-mentha-1(6),8-dien-2-one (6485-40-1)</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6,1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19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Crostacei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terpinolene (586-62-9)</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0,805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0,634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11,69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mojito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l-p-mentha-1(6),8-dien-2-one (6485-40-1)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carvone (99-49-0)</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citral (5392-40-5)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3,7-dimethylnona-1,6-dien-3-ol (10339-55-6)</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terpinolene (586-62-9)</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2.1 a 2.4, 2.6 e 2.7, 2.8 tipi A e B, 2.9, 2.10, 2.12, 2.13 categorie 1 e 2, 2.14 categorie 1 e 2, 2.15 tipi da A a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linalool ; d-limonene ; terpinolene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 ; terpinolene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Pericoloso per l’ambiente acquatico – Pericolo acuto, categoria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Liquidi infiammabili, categoria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Liquido e vapori infiammabili.</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05/06/2026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05/06/2026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mojito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mojito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05/06/2026   Versione: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2DB780C1-9FE5-4F92-8B21-7ECAD4722B89}"/>
</file>

<file path=customXml/itemProps3.xml><?xml version="1.0" encoding="utf-8"?>
<ds:datastoreItem xmlns:ds="http://schemas.openxmlformats.org/officeDocument/2006/customXml" ds:itemID="{9EF8C413-1C4B-4EBC-B72E-34181B7B9740}"/>
</file>

<file path=customXml/itemProps4.xml><?xml version="1.0" encoding="utf-8"?>
<ds:datastoreItem xmlns:ds="http://schemas.openxmlformats.org/officeDocument/2006/customXml" ds:itemID="{E59D33BF-10C3-4D5B-BF05-1A583D3AE9D4}"/>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