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mandarine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LIMONENE, citral, linalool.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Aldeide.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mandarine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mandarine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LIQUIDA,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MATERIA PERICOLOSA PER L'AMBIENTE, LIQUIDA, N.A.S.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MATERIA PERICOLOSA PER L'AMBIENTE, LIQUIDA,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MATERIA PERICOLOSA PER L'AMBIENTE, LIQUIDA,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1"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LIMONENE, citral, linalool.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mandarine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mandarine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15/05/2026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6224347-4EA1-497B-B60A-60F5CBBBE28C}"/>
</file>

<file path=customXml/itemProps3.xml><?xml version="1.0" encoding="utf-8"?>
<ds:datastoreItem xmlns:ds="http://schemas.openxmlformats.org/officeDocument/2006/customXml" ds:itemID="{B5DAAB39-2DE7-4A1E-8D7F-77EFA9391960}"/>
</file>

<file path=customXml/itemProps4.xml><?xml version="1.0" encoding="utf-8"?>
<ds:datastoreItem xmlns:ds="http://schemas.openxmlformats.org/officeDocument/2006/customXml" ds:itemID="{4082CBFA-8B4B-4F0F-8678-DE978A4129AA}"/>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