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lotus et coton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TETRAHYDROLINALOOL, CINNAMAL, ISOBORNEOL, linalool, COUMARIN, ISOEUGENOL.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 Muschio.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lotus et coton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lotus et coton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Coefficiente di ripartizione n-ottanolo/acqua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TETRAHYDROLINALOOL, CINNAMAL, ISOBORNEOL, linalool, COUMARIN, ISOEUGENOL.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lotus et coton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lotus et coton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02/09/2026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2223D4B-6F2D-495A-9BFE-B31DE82569AC}"/>
</file>

<file path=customXml/itemProps3.xml><?xml version="1.0" encoding="utf-8"?>
<ds:datastoreItem xmlns:ds="http://schemas.openxmlformats.org/officeDocument/2006/customXml" ds:itemID="{B390B339-2378-43DB-BDAE-E960EBAA691A}"/>
</file>

<file path=customXml/itemProps4.xml><?xml version="1.0" encoding="utf-8"?>
<ds:datastoreItem xmlns:ds="http://schemas.openxmlformats.org/officeDocument/2006/customXml" ds:itemID="{6AB8C195-5E63-42E4-8BB7-29D436FE57B6}"/>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