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lotus blanc et coton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2-benzylideneheptanal; 3,7-dimethyloctan-3-ol; cinnamaldehyde; linalool; 1-(1,2,3,4,5,6,7,8-octahydro-2,3,8,8-tetramethyl-2-naphthyl)ethan-1-one; isoeugenol; 4-tert-butylcyclohexyl acetate; benzyl salicylate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2-benzylideneheptanal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122-40-7</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204-541-5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lotus blanc et coton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Candela lotus blanc et coton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2-benzylideneheptanal (122-40-7)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lotus blanc et coton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lotus blanc et coton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23/06/2026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0957C25-6C23-4BF6-BA22-3D8969BFEBAF}"/>
</file>

<file path=customXml/itemProps3.xml><?xml version="1.0" encoding="utf-8"?>
<ds:datastoreItem xmlns:ds="http://schemas.openxmlformats.org/officeDocument/2006/customXml" ds:itemID="{1BB9001E-E0B8-43CD-839E-FDF6CD6211AD}"/>
</file>

<file path=customXml/itemProps4.xml><?xml version="1.0" encoding="utf-8"?>
<ds:datastoreItem xmlns:ds="http://schemas.openxmlformats.org/officeDocument/2006/customXml" ds:itemID="{69B4090D-9787-4B19-91F3-B2363926BFA6}"/>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