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lilas 10%</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p w:rsidR="00827634" w:rsidRPr="0069446B" w:rsidP="009E5102" w14:paraId="2D05B3D4" w14:textId="5E45E9EA">
      <w:pPr>
        <w:pStyle w:val="SDSTextNormal"/>
      </w:pPr>
      <w:r w:rsidRPr="0069446B">
        <w:rPr>
          <w:noProof/>
        </w:rPr>
        <w:t>Destinato al grande pubblico</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sidRPr="0069446B">
        <w:rPr>
          <w:noProof/>
        </w:rPr>
        <w:t>Può provocare una reazione allergica cutanea.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09853F86" w14:textId="03A060AF">
            <w:pPr>
              <w:pStyle w:val="SDSTableTextNormal"/>
              <w:rPr>
                <w:noProof w:val="0"/>
              </w:rPr>
            </w:pPr>
            <w:r w:rsidRPr="0069446B" w:rsidR="00FA7F7F">
              <w:rPr>
                <w:noProof/>
              </w:rPr>
              <w:t>Pittogrammi di pericoli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7E2A456" w14:textId="77777777">
            <w:pPr>
              <w:pStyle w:val="SDSTableTextColonColumn"/>
              <w:rPr>
                <w:noProof w:val="0"/>
              </w:rPr>
            </w:pPr>
            <w:r w:rsidRPr="0069446B">
              <w:rPr>
                <w:noProof w:val="0"/>
              </w:rPr>
              <w:t>:</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2CC75AF9" w14:textId="6B3E5396">
            <w:pPr>
              <w:pStyle w:val="SDSTableTextCentered"/>
              <w:rPr>
                <w:noProof w:val="0"/>
              </w:rPr>
            </w:pPr>
            <w:r w:rsidRPr="0069446B" w:rsidR="00FA7F7F">
              <w:drawing>
                <wp:inline>
                  <wp:extent cx="635000" cy="635000"/>
                  <wp:docPr id="100001" name="" descr="GHS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6"/>
                          <a:stretch>
                            <a:fillRect/>
                          </a:stretch>
                        </pic:blipFill>
                        <pic:spPr>
                          <a:xfrm>
                            <a:off x="0" y="0"/>
                            <a:ext cx="635000" cy="635000"/>
                          </a:xfrm>
                          <a:prstGeom prst="rect">
                            <a:avLst/>
                          </a:prstGeom>
                        </pic:spPr>
                      </pic:pic>
                    </a:graphicData>
                  </a:graphic>
                </wp:inline>
              </w:drawing>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6F9D33A" w14:textId="4AE42712">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692950ED" w14:textId="2E6C5141">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11293D9" w14:textId="42F16FFE">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70BEE06B" w14:textId="62D224D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A51479" w14:paraId="2A883038" w14:textId="77777777">
            <w:pPr>
              <w:pStyle w:val="SDSTableTextNormal"/>
              <w:rPr>
                <w:noProof w:val="0"/>
              </w:rPr>
            </w:pPr>
          </w:p>
        </w:tc>
        <w:tc>
          <w:tcPr>
            <w:tcW w:w="284" w:type="dxa"/>
            <w:tcBorders>
              <w:top w:val="none" w:sz="0" w:space="0" w:color="000000"/>
              <w:left w:val="none" w:sz="0" w:space="0" w:color="000000"/>
              <w:bottom w:val="none" w:sz="0" w:space="0" w:color="000000"/>
              <w:right w:val="none" w:sz="0" w:space="0" w:color="000000"/>
            </w:tcBorders>
          </w:tcPr>
          <w:p w:rsidR="00231E3C" w:rsidRPr="0069446B" w:rsidP="001435ED" w14:paraId="45AEA4BE" w14:textId="77777777">
            <w:pPr>
              <w:pStyle w:val="SDSTableTextColonColumn"/>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7F2E30A" w14:textId="24702AC5">
            <w:pPr>
              <w:pStyle w:val="SDSTableTextCentered"/>
              <w:rPr>
                <w:noProof w:val="0"/>
              </w:rPr>
            </w:pPr>
            <w:r w:rsidRPr="0069446B" w:rsidR="00FA7F7F">
              <w:rPr>
                <w:noProof/>
              </w:rPr>
              <w:t>GHS07</w:t>
            </w: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1BFCE48E" w14:textId="65A3F993">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FD8E0F8" w14:textId="5F02E27B">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4E3B6B93" w14:textId="5ADF2AF4">
            <w:pPr>
              <w:pStyle w:val="SDSTableTextCentered"/>
              <w:rPr>
                <w:noProof w:val="0"/>
              </w:rPr>
            </w:pPr>
          </w:p>
        </w:tc>
        <w:tc>
          <w:tcPr>
            <w:tcW w:w="1077" w:type="dxa"/>
            <w:tcBorders>
              <w:top w:val="none" w:sz="0" w:space="0" w:color="000000"/>
              <w:left w:val="none" w:sz="0" w:space="0" w:color="000000"/>
              <w:bottom w:val="none" w:sz="0" w:space="0" w:color="000000"/>
              <w:right w:val="none" w:sz="0" w:space="0" w:color="000000"/>
            </w:tcBorders>
          </w:tcPr>
          <w:p w:rsidR="00231E3C" w:rsidRPr="0069446B" w:rsidP="001435ED" w14:paraId="589ACC4E" w14:textId="7D99C3B5">
            <w:pPr>
              <w:pStyle w:val="SDSTableTextCentered"/>
              <w:rPr>
                <w:noProof w:val="0"/>
              </w:rPr>
            </w:pPr>
          </w:p>
        </w:tc>
        <w:tc>
          <w:tcPr>
            <w:tcW w:w="1135" w:type="dxa"/>
            <w:tcBorders>
              <w:top w:val="none" w:sz="0" w:space="0" w:color="000000"/>
              <w:left w:val="none" w:sz="0" w:space="0" w:color="000000"/>
              <w:bottom w:val="none" w:sz="0" w:space="0" w:color="000000"/>
              <w:right w:val="none" w:sz="0" w:space="0" w:color="000000"/>
            </w:tcBorders>
          </w:tcPr>
          <w:p w:rsidR="00231E3C" w:rsidRPr="0069446B"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gridSpan w:val="6"/>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cinnamyl alcohol; 7-hydroxycitronellal; cis-4-(isopropyl)cyclohexanemethanol; linalool; isoeugenol; cinnamaldehyde; p-tolylacetaldehyde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P302+P352 - IN CASO DI CONTATTO CON LA PELLE: lavare abbondantemente con acqua e sapone..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2-phenylethanol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60-12-8</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200-456-2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(per via orale), H302 (ATE=1610 mg/kg)</w:t>
              <w:br/>
              <w:t>Eye Irrit. 2, H319</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203-212-3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(ATE=2000 mg/kg di peso corporeo)</w:t>
              <w:b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7-hydroxycitronellal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107-75-5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203-518-7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Eye Irrit. 2, H319</w:t>
              <w:br/>
              <w:t>Skin Sens. 1B, H317</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anisaldehyde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123-11-5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204-602-6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Repr. 2, H361</w:t>
              <w:br/>
              <w:t>Aquatic Chronic 3, H412</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cis-4-(isopropyl)cyclohexanemethanol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13828-37-0</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237-539-8</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3, H412</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linalool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78-70-6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201-134-4</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603-235-00-2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Eye Irrit. 2, H319</w:t>
              <w:br/>
              <w:t>Skin Sens. 1B, H317</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97-54-1</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202-590-7</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604-094-00-X</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0,049</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orale), H302 (ATE=500 mg/kg di peso corporeo)</w:t>
              <w:br/>
              <w:t>Acute Tox. 4 (per via cutanea), H312 (ATE=1100 mg/kg di peso corporeo)</w:t>
              <w:br/>
              <w:t>Acute Tox. 4 (per inalazione), H332 (ATE=1,5 mg/l/4h)</w:t>
              <w:br/>
              <w:t>Skin Irrit. 2, H315</w:t>
              <w:br/>
              <w:t>Eye Irrit. 2, H319</w:t>
              <w:br/>
              <w:t>Skin Sens. 1A, H317</w:t>
              <w:br/>
              <w:t>STOT SE 3, H335</w:t>
            </w:r>
          </w:p>
        </w:tc>
      </w:tr>
      <w:tr w14:paraId="73AD14F5"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p-tolylacetaldehyde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104-09-6</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203-173-2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0,045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1A, H317</w:t>
            </w:r>
          </w:p>
        </w:tc>
      </w:tr>
      <w:tr w14:paraId="73AD14F6"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0,0091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(per via cutanea), H312 (ATE=1260 mg/kg di peso corporeo)</w:t>
              <w:br/>
              <w:t>Skin Irrit. 2, H315</w:t>
              <w:br/>
              <w:t>Eye Irrit. 2, H319</w:t>
              <w:br/>
              <w:t>Skin Sens. 1A, H317</w:t>
              <w:br/>
              <w:t>Aquatic Acute 1, H400</w:t>
              <w:br/>
              <w:t>Aquatic Chronic 2, H411</w:t>
            </w:r>
          </w:p>
        </w:tc>
      </w:tr>
    </w:tbl>
    <w:p w:rsidR="00B9487F" w:rsidRPr="0069446B" w:rsidP="009E5102" w14:paraId="7E24D261" w14:textId="10681EB5">
      <w:pPr>
        <w:pStyle w:val="SDSTextNormal"/>
      </w:pPr>
    </w:p>
    <w:tbl>
      <w:tblPr>
        <w:tblStyle w:val="SDSTableWithBordersWithHeaderRow"/>
        <w:tblW w:w="10490" w:type="dxa"/>
        <w:tblLayout w:type="fixed"/>
        <w:tblLook w:val="04A0"/>
      </w:tblPr>
      <w:tblGrid>
        <w:gridCol w:w="3969"/>
        <w:gridCol w:w="2268"/>
        <w:gridCol w:w="4253"/>
      </w:tblGrid>
      <w:tr w14:paraId="6F7CB57B" w14:textId="77777777" w:rsidTr="006965F0">
        <w:tblPrEx>
          <w:tblW w:w="10490" w:type="dxa"/>
          <w:tblLayout w:type="fixed"/>
          <w:tblLook w:val="04A0"/>
        </w:tblPrEx>
        <w:trPr>
          <w:tblHeader/>
        </w:trPr>
        <w:tc>
          <w:tcPr>
            <w:tcW w:w="10490" w:type="dxa"/>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693D4B40" w14:textId="45ACE47A">
            <w:pPr>
              <w:pStyle w:val="SDSTableTextHeading1"/>
              <w:rPr>
                <w:noProof w:val="0"/>
                <w:color w:val="auto"/>
              </w:rPr>
            </w:pPr>
            <w:r w:rsidRPr="0069446B" w:rsidR="00FA7F7F">
              <w:rPr>
                <w:noProof/>
                <w:color w:val="auto"/>
              </w:rPr>
              <w:t>Limiti di concentrazione specifici</w:t>
            </w:r>
            <w:r w:rsidRPr="0069446B">
              <w:rPr>
                <w:noProof w:val="0"/>
                <w:color w:val="auto"/>
              </w:rPr>
              <w:t>:</w:t>
            </w:r>
          </w:p>
        </w:tc>
      </w:tr>
      <w:tr w14:paraId="4022B8D3" w14:textId="77777777" w:rsidTr="00D066E3">
        <w:tblPrEx>
          <w:tblW w:w="10490"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E4B2AB8" w14:textId="06191804">
            <w:pPr>
              <w:pStyle w:val="SDSTableTextHeading2"/>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44B29236" w14:textId="6A267460">
            <w:pPr>
              <w:pStyle w:val="SDSTableTextHeading2"/>
              <w:rPr>
                <w:noProof w:val="0"/>
                <w:color w:val="auto"/>
              </w:rPr>
            </w:pPr>
            <w:r w:rsidRPr="0069446B" w:rsidR="00FA7F7F">
              <w:rPr>
                <w:noProof/>
                <w:color w:val="auto"/>
              </w:rPr>
              <w:t>Identificatore del prodotto</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65F0" w14:paraId="119FF265" w14:textId="1EE4CF94">
            <w:pPr>
              <w:pStyle w:val="SDSTableTextHeading2"/>
              <w:rPr>
                <w:noProof w:val="0"/>
                <w:color w:val="auto"/>
                <w:lang w:val="fr-BE"/>
              </w:rPr>
            </w:pPr>
            <w:r w:rsidRPr="0069446B" w:rsidR="00FA7F7F">
              <w:rPr>
                <w:noProof/>
                <w:color w:val="auto"/>
                <w:lang w:val="fr-BE"/>
              </w:rPr>
              <w:t>Limiti di concentrazione specifici</w:t>
            </w:r>
            <w:r w:rsidRPr="0069446B" w:rsidR="00C70EBE">
              <w:rPr>
                <w:noProof w:val="0"/>
                <w:color w:val="auto"/>
                <w:lang w:val="fr-BE"/>
              </w:rPr>
              <w:t xml:space="preserve"> </w:t>
            </w:r>
            <w:r w:rsidRPr="0069446B" w:rsidR="00C70EBE">
              <w:rPr>
                <w:color w:val="auto"/>
                <w:lang w:val="fr-BE"/>
              </w:rPr>
              <w:t>(%)</w:t>
            </w:r>
          </w:p>
        </w:tc>
      </w:tr>
      <w:tr w14:paraId="466CEF48"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194FF8" w14:textId="4EE762FA">
            <w:pPr>
              <w:pStyle w:val="SDSTableTextNormal"/>
              <w:rPr>
                <w:noProof w:val="0"/>
              </w:rPr>
            </w:pPr>
            <w:r w:rsidRPr="0069446B" w:rsidR="00FA7F7F">
              <w:rPr>
                <w:noProof/>
              </w:rPr>
              <w:t>isoeugenol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36E091"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97-54-1</w:t>
            </w:r>
          </w:p>
          <w:p w:rsidR="00827634" w:rsidRPr="0069446B" w:rsidP="009B0F88" w14:paraId="11520CA5"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202-590-7</w:t>
            </w:r>
          </w:p>
          <w:p w:rsidR="00827634" w:rsidRPr="0069446B" w:rsidP="009B0F88" w14:paraId="13BBD3FC"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604-094-00-X</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2970379" w14:textId="1A003A6D">
            <w:pPr>
              <w:pStyle w:val="SDSTableTextNormal"/>
              <w:rPr>
                <w:noProof w:val="0"/>
              </w:rPr>
            </w:pPr>
            <w:r w:rsidRPr="0069446B">
              <w:rPr>
                <w:noProof/>
              </w:rPr>
              <w:t>(0,01 ≤ C ≤ 100) Skin Sens. 1A; H317</w:t>
            </w:r>
          </w:p>
        </w:tc>
      </w:tr>
      <w:tr w14:paraId="466CEF49" w14:textId="77777777" w:rsidTr="00D066E3">
        <w:tblPrEx>
          <w:tblW w:w="10490"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EE762FA">
            <w:pPr>
              <w:pStyle w:val="SDSTableTextNormal"/>
              <w:rPr>
                <w:noProof w:val="0"/>
              </w:rPr>
            </w:pPr>
            <w:r w:rsidRPr="0069446B" w:rsidR="00FA7F7F">
              <w:rPr>
                <w:noProof/>
              </w:rPr>
              <w:t>cinnamaldehyde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1397868">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104-55-2</w:t>
            </w:r>
          </w:p>
          <w:p w:rsidR="00827634" w:rsidRPr="0069446B" w:rsidP="009B0F88" w14:textId="5CB1DBD7">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203-213-9</w:t>
            </w:r>
          </w:p>
          <w:p w:rsidR="00827634" w:rsidRPr="0069446B" w:rsidP="009B0F88" w14:textId="719C52A6">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606-155-00-6</w:t>
            </w:r>
          </w:p>
        </w:tc>
        <w:tc>
          <w:tcPr>
            <w:tcW w:w="4253"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A003A6D">
            <w:pPr>
              <w:pStyle w:val="SDSTableTextNormal"/>
              <w:rPr>
                <w:noProof w:val="0"/>
              </w:rPr>
            </w:pPr>
            <w:r w:rsidRPr="0069446B">
              <w:rPr>
                <w:noProof/>
              </w:rPr>
              <w:t>(0,01 ≤ C ≤ 100) Skin Sens. 1A; H317</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Floreale. In polvere.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F45D1B8" w14:textId="6C4876BB">
            <w:pPr>
              <w:pStyle w:val="SDSTableTextNormal"/>
              <w:bidi w:val="0"/>
              <w:rPr>
                <w:noProof w:val="0"/>
                <w:rtl w:val="0"/>
              </w:rPr>
            </w:pPr>
            <w:r w:rsidRPr="0069446B">
              <w:rPr>
                <w:noProof w:val="0"/>
                <w:rtl w:val="0"/>
              </w:rPr>
              <w:t>Non disponibile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2-phenylethanol (60-12-8)</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2535 mg/kg di peso corporeo Animal: rabbit, Guideline: OECD Guideline 402 (Acute Dermal Toxicity), 95% CL: 1769 - 3634</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Inalazione -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sidR="00FA7F7F">
              <w:rPr>
                <w:noProof/>
              </w:rPr>
              <w:t>&gt; 4,63 mg/l air Animal: rat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cinnamyl alcohol (104-54-1)</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2000 mg/kg di peso corporeo Animal: rat, Animal sex: female, Guideline: OECD Guideline 423 (Acute Oral toxicity - Acute Toxic Class Method)</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&gt; 2000 mg/kg di peso corporeo Animal: rat, Animal sex: female, Guideline: OECD Guideline 402 (Acute Dermal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7-hydroxycitronellal (107-75-5)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6400 mg/kg di peso corporeo Animal: rat, Guideline: OECD Guideline 401 (Acute Oral Toxicity)</w:t>
            </w:r>
          </w:p>
        </w:tc>
      </w:tr>
      <w:tr w14:paraId="6700D31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2000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anisaldehyde (123-11-5)</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3210 mg/kg di peso corporeo Animal: rat, Guideline: OECD Guideline 401 (Acute Oral Toxicity), 95% CL: 2755 - 3600</w:t>
            </w:r>
          </w:p>
        </w:tc>
      </w:tr>
      <w:tr w14:paraId="6700D315"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&gt; 5000 mg/kg di peso corporeo Animal: rabbit</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linalool (78-70-6)</w:t>
            </w:r>
          </w:p>
        </w:tc>
      </w:tr>
      <w:tr w14:paraId="02D6B5A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2790 mg/kg di peso corporeo Animal: rat, Guideline: OECD Guideline 401 (Acute Oral Toxicity), 95% CL: 2440 - 3180</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3120 mg/kg di peso corporeo Animal: mouse, Guideline: OECD Guideline 401 (Acute Oral Toxicity), 95% CL: 2620 - 3620</w:t>
            </w:r>
          </w:p>
        </w:tc>
      </w:tr>
      <w:tr w14:paraId="6700D316"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5610 mg/kg di peso corporeo Animal: rabbit, Guideline: OECD Guideline 402 (Acute Dermal Toxicity), 95% CL: 3578 - 8374</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cinnamaldehyde (104-55-2)</w:t>
            </w:r>
          </w:p>
        </w:tc>
      </w:tr>
      <w:tr w14:paraId="02D6B5AD"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2220 mg/kg di peso corporeo Animal: rat, Guideline: other:, 95% CL: 1910 - 2600</w:t>
            </w:r>
          </w:p>
        </w:tc>
      </w:tr>
      <w:tr w14:paraId="512A600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B18D0CD">
            <w:pPr>
              <w:pStyle w:val="SDSTableTextNormal"/>
              <w:rPr>
                <w:noProof w:val="0"/>
              </w:rPr>
            </w:pPr>
            <w:r w:rsidRPr="0069446B" w:rsidR="00FA7F7F">
              <w:rPr>
                <w:noProof/>
              </w:rPr>
              <w:t>LD50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99FF5E">
            <w:pPr>
              <w:pStyle w:val="SDSTableTextNormal"/>
              <w:rPr>
                <w:noProof w:val="0"/>
              </w:rPr>
            </w:pPr>
            <w:r w:rsidRPr="0069446B">
              <w:rPr>
                <w:noProof/>
              </w:rPr>
              <w:t>3400 mg/kg di peso corporeo Animal: guinea pig, Guideline: other:</w:t>
            </w:r>
          </w:p>
        </w:tc>
      </w:tr>
      <w:tr w14:paraId="14A10651"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99F7789">
            <w:pPr>
              <w:pStyle w:val="SDSTableTextNormal"/>
              <w:rPr>
                <w:noProof w:val="0"/>
                <w:lang w:val="de-DE"/>
              </w:rPr>
            </w:pPr>
            <w:r w:rsidRPr="0069446B" w:rsidR="00FA7F7F">
              <w:rPr>
                <w:noProof/>
                <w:lang w:val="de-DE"/>
              </w:rPr>
              <w:t>DL50 cutaneo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522F62">
            <w:pPr>
              <w:pStyle w:val="SDSTableTextNormal"/>
              <w:rPr>
                <w:noProof w:val="0"/>
              </w:rPr>
            </w:pPr>
            <w:r w:rsidRPr="0069446B">
              <w:rPr>
                <w:noProof/>
              </w:rPr>
              <w:t>&gt; 2000 mg/kg di peso corporeo Animal: rat, Guideline: OECD Guideline 402 (Acute Dermal Toxicity)</w:t>
            </w:r>
          </w:p>
        </w:tc>
      </w:tr>
      <w:tr w14:paraId="6700D317"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B4BC1CA">
            <w:pPr>
              <w:pStyle w:val="SDSTableTextNormal"/>
              <w:rPr>
                <w:noProof w:val="0"/>
              </w:rPr>
            </w:pPr>
            <w:r w:rsidRPr="0069446B" w:rsidR="00FA7F7F">
              <w:rPr>
                <w:noProof/>
              </w:rPr>
              <w:t>DL50 cutaneo coniglio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58774FB">
            <w:pPr>
              <w:pStyle w:val="SDSTableTextNormal"/>
              <w:rPr>
                <w:noProof w:val="0"/>
              </w:rPr>
            </w:pPr>
            <w:r w:rsidRPr="0069446B">
              <w:rPr>
                <w:noProof/>
              </w:rPr>
              <w:t>1260 mg/kg di peso corporeo Animal: rabbit, Guideline: other:</w:t>
            </w:r>
          </w:p>
        </w:tc>
      </w:tr>
      <w:tr w14:paraId="2AC9C978"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6E9B3C" w14:textId="396F2C75">
            <w:pPr>
              <w:pStyle w:val="SDSTableTextNormal"/>
              <w:rPr>
                <w:noProof w:val="0"/>
              </w:rPr>
            </w:pPr>
            <w:r w:rsidRPr="0069446B" w:rsidR="00FA7F7F">
              <w:rPr>
                <w:noProof/>
              </w:rPr>
              <w:t>CL50 Inalazione - Ratto [ppm]</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B461613" w14:textId="5B1B40D4">
            <w:pPr>
              <w:pStyle w:val="SDSTableTextNormal"/>
              <w:rPr>
                <w:noProof w:val="0"/>
              </w:rPr>
            </w:pPr>
            <w:r w:rsidRPr="0069446B" w:rsidR="00FA7F7F">
              <w:rPr>
                <w:noProof/>
              </w:rPr>
              <w:t>68,88871 ppm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cinnamyl alcohol (104-54-1)</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cinnamyl alcohol (104-54-1)</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4,71 Temp.: 26,5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61EBDDE8" w14:textId="3F55FECE">
            <w:pPr>
              <w:pStyle w:val="SDSTableTextHeading1"/>
              <w:rPr>
                <w:noProof w:val="0"/>
                <w:color w:val="auto"/>
              </w:rPr>
            </w:pPr>
            <w:r w:rsidRPr="0069446B" w:rsidR="00FA7F7F">
              <w:rPr>
                <w:noProof/>
                <w:color w:val="auto"/>
              </w:rPr>
              <w:t>7-hydroxycitronellal (107-75-5)</w:t>
            </w:r>
          </w:p>
        </w:tc>
      </w:tr>
      <w:tr w14:paraId="095C82A4"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4CC5AB0" w14:textId="28F4EB77">
            <w:pPr>
              <w:pStyle w:val="SDSTableTextNormal"/>
              <w:rPr>
                <w:noProof w:val="0"/>
              </w:rPr>
            </w:pPr>
            <w:r w:rsidRPr="0069446B" w:rsidR="00FA7F7F">
              <w:rPr>
                <w:noProof/>
              </w:rPr>
              <w:t>NOAEL (cronico,orale,animale/maschio,2 anni)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C01117" w14:textId="4F52C4C8">
            <w:pPr>
              <w:pStyle w:val="SDSTableTextNormal"/>
              <w:rPr>
                <w:noProof w:val="0"/>
              </w:rPr>
            </w:pPr>
            <w:r w:rsidRPr="0069446B">
              <w:rPr>
                <w:noProof/>
              </w:rPr>
              <w:t>60 mg/kg di peso corporeo Animal: mouse, Animal sex: male, Guideline: OECD Guideline 453 (Combined Chronic Toxicity / Carcinogenicity Studies)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08438C9D" w14:textId="1D4097E9">
            <w:pPr>
              <w:pStyle w:val="SDSTableTextHeading1"/>
              <w:rPr>
                <w:noProof w:val="0"/>
                <w:color w:val="auto"/>
              </w:rPr>
            </w:pPr>
            <w:r w:rsidRPr="0069446B" w:rsidR="00FA7F7F">
              <w:rPr>
                <w:noProof/>
                <w:color w:val="auto"/>
              </w:rPr>
              <w:t>isoeugenol (97-54-1)</w:t>
            </w:r>
          </w:p>
        </w:tc>
      </w:tr>
      <w:tr w14:paraId="19C91D7F"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61F4F0F2" w14:textId="18B01BD1">
            <w:pPr>
              <w:pStyle w:val="SDSTableTextNormal"/>
              <w:rPr>
                <w:noProof w:val="0"/>
              </w:rPr>
            </w:pPr>
            <w:r w:rsidRPr="0069446B">
              <w:rPr>
                <w:noProof/>
              </w:rPr>
              <w:t>Tossicità specifica per organi bersaglio (STOT) — esposizione singola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DF0C3A" w:rsidRPr="0069446B" w:rsidP="009B0F88" w14:paraId="0CCC6EF3" w14:textId="581E3344">
            <w:pPr>
              <w:pStyle w:val="SDSTableTextNormal"/>
              <w:rPr>
                <w:noProof w:val="0"/>
                <w:lang w:val="fr-BE"/>
              </w:rPr>
            </w:pPr>
            <w:r w:rsidRPr="0069446B" w:rsidR="00FA7F7F">
              <w:rPr>
                <w:noProof/>
                <w:lang w:val="fr-BE"/>
              </w:rPr>
              <w:t>Può irritare le vie respiratorie.</w:t>
            </w:r>
            <w:r w:rsidRPr="0069446B">
              <w:rPr>
                <w:noProof w:val="0"/>
                <w:lang w:val="fr-BE"/>
              </w:rPr>
              <w:t xml:space="preserve"> </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2-phenylethanol (60-12-8)</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510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cinnamyl alcohol (104-54-1)</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B"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7-hydroxycitronellal (107-75-5)</w:t>
            </w:r>
          </w:p>
        </w:tc>
      </w:tr>
      <w:tr w14:paraId="07CBBCD6"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di peso corporeo Animal: rat, Guideline: OECD Guideline 453 (Combined Chronic Toxicity / Carcinogenicity Studies)</w:t>
            </w:r>
          </w:p>
        </w:tc>
      </w:tr>
      <w:tr w14:paraId="6B0A5EE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7C20CFC" w14:textId="6F7047DD">
            <w:pPr>
              <w:pStyle w:val="SDSTableTextNormal"/>
              <w:rPr>
                <w:noProof w:val="0"/>
              </w:rPr>
            </w:pPr>
            <w:r w:rsidRPr="0069446B" w:rsidR="00FA7F7F">
              <w:rPr>
                <w:noProof/>
              </w:rPr>
              <w:t>NOAEL (subcronica,orale,animale/maschio,90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5A78E587" w14:textId="4F8C43C8">
            <w:pPr>
              <w:pStyle w:val="SDSTableTextNormal"/>
              <w:rPr>
                <w:noProof w:val="0"/>
              </w:rPr>
            </w:pPr>
            <w:r w:rsidRPr="0069446B">
              <w:rPr>
                <w:noProof/>
              </w:rPr>
              <w:t>60 mg/kg di peso corporeo Animal: mouse, Animal sex: male, Guideline: OECD Guideline 453 (Combined Chronic Toxicity / Carcinogenicity Studies)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C"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anisaldehyde (123-11-5)</w:t>
            </w:r>
          </w:p>
        </w:tc>
      </w:tr>
      <w:tr w14:paraId="07CBBCD7"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 mg/kg di peso corporeo Animal: rat, Guideline: OECD Guideline 408 (Repeated Dose 90-Day Oral Toxicity Study in Rodents)</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D"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linalool (78-70-6)</w:t>
            </w:r>
          </w:p>
        </w:tc>
      </w:tr>
      <w:tr w14:paraId="32F42FBE"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60CB7E62">
            <w:pPr>
              <w:pStyle w:val="SDSTableTextNormal"/>
              <w:rPr>
                <w:noProof w:val="0"/>
                <w:lang w:val="fr-BE"/>
              </w:rPr>
            </w:pPr>
            <w:r w:rsidRPr="0069446B">
              <w:rPr>
                <w:noProof/>
                <w:lang w:val="fr-BE"/>
              </w:rPr>
              <w:t>250 mg/kg di peso corporeo Animal: rat, Guideline: OECD Guideline 411 (Subchronic Dermal Toxicity: 90-Day Study)</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E"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cinnamaldehyde (104-55-2)</w:t>
            </w:r>
          </w:p>
        </w:tc>
      </w:tr>
      <w:tr w14:paraId="07CBBCD8"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E428042">
            <w:pPr>
              <w:pStyle w:val="SDSTableTextNormal"/>
              <w:rPr>
                <w:noProof w:val="0"/>
              </w:rPr>
            </w:pPr>
            <w:r w:rsidRPr="0069446B" w:rsidR="00FA7F7F">
              <w:rPr>
                <w:noProof/>
              </w:rPr>
              <w:t>NOAEL (orale,ratto,90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textId="2BFBD51D">
            <w:pPr>
              <w:pStyle w:val="SDSTableTextNormal"/>
              <w:rPr>
                <w:noProof w:val="0"/>
                <w:lang w:val="fr-BE"/>
              </w:rPr>
            </w:pPr>
            <w:r w:rsidRPr="0069446B">
              <w:rPr>
                <w:noProof/>
                <w:lang w:val="fr-BE"/>
              </w:rPr>
              <w:t>1000 mg/kg di peso corporeo Animal: rat, Guideline: OECD Guideline 407 (Repeated Dose 28-Day Oral Toxicity Study in Rodents)</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lilas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Il prodotto non è considerato pericoloso per gli organismi acquatici e non causa effetti indesiderati a lungo termine sull’ambiente.</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classificato (Basandosi sui dati disponibili i criteri di classificazione non sono soddisfatti)</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2-phenylethanol (60-12-8)</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215 – 464 mg/l Test organisms (species): Leuciscus idus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287,17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cinnamyl alcohol (104-54-1)</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9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7,7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19,7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7-hydroxycitronellal (107-75-5)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31,6 mg/l Test organisms (species): Leuciscus idus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410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123,32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anisaldehyde (123-11-5)</w:t>
            </w:r>
          </w:p>
        </w:tc>
      </w:tr>
      <w:tr w14:paraId="562CCB6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148,32 mg/l Test organisms (species): Leuciscus idus</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82,8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68,4 mg/l Test organisms (species): Raphidocelis subcapitata (previous names: Pseudokirchneriella subcapitata, Selenastrum capricornutum)</w:t>
            </w:r>
          </w:p>
        </w:tc>
      </w:tr>
      <w:tr w14:paraId="61BDF10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98EAC62" w14:textId="0C2650D0">
            <w:pPr>
              <w:pStyle w:val="SDSTableTextNormal"/>
              <w:rPr>
                <w:noProof w:val="0"/>
              </w:rPr>
            </w:pPr>
            <w:r w:rsidRPr="0069446B" w:rsidR="00FA7F7F">
              <w:rPr>
                <w:noProof/>
              </w:rPr>
              <w:t>LOEC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177F34F" w14:textId="7B7C09E6">
            <w:pPr>
              <w:pStyle w:val="SDSTableTextNormal"/>
              <w:rPr>
                <w:noProof w:val="0"/>
              </w:rPr>
            </w:pPr>
            <w:r w:rsidRPr="0069446B">
              <w:rPr>
                <w:noProof/>
              </w:rPr>
              <w:t>1,53 mg/l Test organisms (species): Daphnia magna Duration: '21 d'</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(cronico)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0,71 mg/l Test organisms (species): Daphnia magna Duration: '21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linalool (78-70-6)</w:t>
            </w:r>
          </w:p>
        </w:tc>
      </w:tr>
      <w:tr w14:paraId="562CCB6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27,8 mg/l Test organisms (species): Oncorhynchus mykiss (previous name: Salmo gairdneri)</w:t>
            </w:r>
          </w:p>
        </w:tc>
      </w:tr>
      <w:tr w14:paraId="758D634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59 mg/l Test organisms (species): Daphnia magna</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Pr>
                <w:noProof/>
              </w:rPr>
              <w:t>88,3 mg/l Test organisms (species): Desmodesmus subspicatus (previous name: Scenedesmus subspicatus)</w:t>
            </w:r>
          </w:p>
        </w:tc>
      </w:tr>
      <w:tr w14:paraId="2AED0D7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AD97F9" w14:textId="1B0185B1">
            <w:pPr>
              <w:pStyle w:val="SDSTableTextNormal"/>
              <w:rPr>
                <w:noProof w:val="0"/>
              </w:rPr>
            </w:pPr>
            <w:r w:rsidRPr="0069446B" w:rsidR="00FA7F7F">
              <w:rPr>
                <w:noProof/>
              </w:rPr>
              <w:t>CE50 96h - Alghe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ABEE98" w14:textId="14E66021">
            <w:pPr>
              <w:pStyle w:val="SDSTableTextNormal"/>
              <w:rPr>
                <w:noProof w:val="0"/>
              </w:rPr>
            </w:pPr>
            <w:r w:rsidRPr="0069446B">
              <w:rPr>
                <w:noProof/>
              </w:rPr>
              <w:t>156,7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cinnamaldehyde (104-55-2)</w:t>
            </w:r>
          </w:p>
        </w:tc>
      </w:tr>
      <w:tr w14:paraId="562CCB6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2,35 mg/l Test organisms (species): Danio rerio (previous name: Brachydanio rerio)</w:t>
            </w:r>
          </w:p>
        </w:tc>
      </w:tr>
      <w:tr w14:paraId="758D634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119,5578 mg/l Test organisms (species): Daphnia magna</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cronico pesce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15,159 mg/l Test organisms (species): other: Duration: '28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lilas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2-phenylethanol (60-12-8)</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cinnamyl alcohol (104-54-1)</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7-hydroxycitronellal (107-75-5)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anisaldehyde (123-11-5)</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cis-4-(isopropyl)cyclohexanemethanol (13828-37-0)</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linalool (78-70-6)</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isoeugenol (97-54-1)</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cinnamaldehyde (104-55-2)</w:t>
            </w:r>
          </w:p>
        </w:tc>
      </w:tr>
      <w:tr w14:paraId="2D6A99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p-tolylacetaldehyde (104-09-6)</w:t>
            </w:r>
          </w:p>
        </w:tc>
      </w:tr>
      <w:tr w14:paraId="2D6A99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2-phenylethanol ; cinnamyl alcohol ; 7-hydroxycitronellal ; anisaldehyde ; linalool ; isoeugenol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cinnamyl alcohol ; anisaldehyde ; cinnamaldehyde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inalazione)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inalazione),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cutanea)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cutanea), categoria 4</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acuta (per via orale), categoria 4</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Gravi lesioni oculari/irritazione oculare,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Repr.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per la riproduzione, categoria 2</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1A</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STOT SE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Tossicità specifica per organi bersaglio – esposizione singola, categoria 3 – Irritazione delle vie respiratorie</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contatto con la pelle.</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grave irritazione oculare.</w:t>
            </w:r>
          </w:p>
        </w:tc>
      </w:tr>
      <w:tr w14:paraId="63F052D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inalato.</w:t>
            </w:r>
          </w:p>
        </w:tc>
      </w:tr>
      <w:tr w14:paraId="63F052D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H335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irritare le vie respiratorie.</w:t>
            </w:r>
          </w:p>
        </w:tc>
      </w:tr>
      <w:tr w14:paraId="63F052D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H361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Sospettato di nuocere alla fertilità o al feto.</w:t>
            </w:r>
          </w:p>
        </w:tc>
      </w:tr>
      <w:tr w14:paraId="63F052D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E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14/04/2026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14</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14/04/2026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14</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lilas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lilas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14/04/2026   Versione: 1.0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theme" Target="theme/theme1.xml"/><Relationship Id="rId8" Type="http://schemas.openxmlformats.org/officeDocument/2006/relationships/header" Target="header2.xml"/><Relationship Id="rId3" Type="http://schemas.openxmlformats.org/officeDocument/2006/relationships/fontTable" Target="fontTable.xml"/><Relationship Id="rId12" Type="http://schemas.openxmlformats.org/officeDocument/2006/relationships/footer" Target="footer3.xml"/><Relationship Id="rId7" Type="http://schemas.openxmlformats.org/officeDocument/2006/relationships/header" Target="header1.xml"/><Relationship Id="rId17" Type="http://schemas.openxmlformats.org/officeDocument/2006/relationships/customXml" Target="../customXml/item4.xml"/><Relationship Id="rId2" Type="http://schemas.openxmlformats.org/officeDocument/2006/relationships/webSettings" Target="webSettings.xml"/><Relationship Id="rId16" Type="http://schemas.openxmlformats.org/officeDocument/2006/relationships/customXml" Target="../customXml/item3.xml"/><Relationship Id="rId1" Type="http://schemas.openxmlformats.org/officeDocument/2006/relationships/settings" Target="settings.xml"/><Relationship Id="rId11" Type="http://schemas.openxmlformats.org/officeDocument/2006/relationships/header" Target="header3.xml"/><Relationship Id="rId6" Type="http://schemas.openxmlformats.org/officeDocument/2006/relationships/image" Target="media/image1.png"/><Relationship Id="rId5" Type="http://schemas.openxmlformats.org/officeDocument/2006/relationships/hyperlink" Target="mailto: office@labsys.fr" TargetMode="External"/><Relationship Id="rId15" Type="http://schemas.openxmlformats.org/officeDocument/2006/relationships/customXml" Target="../customXml/item2.xml"/><Relationship Id="rId10" Type="http://schemas.openxmlformats.org/officeDocument/2006/relationships/footer" Target="footer2.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59964773-ABD4-4739-9EC8-DDA8AF223668}"/>
</file>

<file path=customXml/itemProps3.xml><?xml version="1.0" encoding="utf-8"?>
<ds:datastoreItem xmlns:ds="http://schemas.openxmlformats.org/officeDocument/2006/customXml" ds:itemID="{4BE142AB-BF5E-4883-89E1-8A919683A1E7}"/>
</file>

<file path=customXml/itemProps4.xml><?xml version="1.0" encoding="utf-8"?>
<ds:datastoreItem xmlns:ds="http://schemas.openxmlformats.org/officeDocument/2006/customXml" ds:itemID="{BD154AC9-CE2B-4796-8A37-470771FB4F5F}"/>
</file>

<file path=docProps/app.xml><?xml version="1.0" encoding="utf-8"?>
<Properties xmlns="http://schemas.openxmlformats.org/officeDocument/2006/extended-properties" xmlns:vt="http://schemas.openxmlformats.org/officeDocument/2006/docPropsVTypes">
  <Template>Normal</Template>
  <TotalTime>219</TotalTime>
  <Pages>14</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