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lilas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cinnamyl alcohol; 7-hydroxycitronellal; cis-4-(isopropyl)cyclohexanemethanol; linalool; isoeugenol; cinnamaldehyde; p-tolylacetaldehyde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2-phenylethanol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60-12-8</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200-456-2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(ATE=1610 mg/kg)</w:t>
              <w:b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(ATE=2000 mg/kg di peso corporeo)</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cis-4-(isopropyl)cyclohexanemethanol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13828-37-0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237-539-8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p-tolylacetaldehyde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104-09-6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203-173-2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1A,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In polvere.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Non disponibile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2-phenylethanol (60-12-8)</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2535 mg/kg di peso corporeo Animal: rabbit, Guideline: OECD Guideline 402 (Acute Dermal Toxicity), 95% CL: 1769 - 3634</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sidR="00FA7F7F">
              <w:rPr>
                <w:noProof/>
              </w:rPr>
              <w:t>&gt; 4,63 mg/l air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di peso corporeo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di peso corporeo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di peso corporeo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2-phenylethanol (60-12-8)</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510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lilas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2-phenylethanol (60-12-8)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215 – 464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287,17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lilas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2-phenylethanol (60-12-8)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cis-4-(isopropyl)cyclohexanemethanol (13828-37-0)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p-tolylacetaldehyde (104-09-6)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2-phenylethanol ; cinnamyl alcohol ; 7-hydroxycitronellal ; anisaldehyde ; linalool ; isoeugenol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cinnamyl alcohol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lilas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lilas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14/04/2026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C8FC228-91D3-4086-8F8A-2BE5B4611711}"/>
</file>

<file path=customXml/itemProps3.xml><?xml version="1.0" encoding="utf-8"?>
<ds:datastoreItem xmlns:ds="http://schemas.openxmlformats.org/officeDocument/2006/customXml" ds:itemID="{218061ED-E5AC-4541-8AD3-517622C3BD38}"/>
</file>

<file path=customXml/itemProps4.xml><?xml version="1.0" encoding="utf-8"?>
<ds:datastoreItem xmlns:ds="http://schemas.openxmlformats.org/officeDocument/2006/customXml" ds:itemID="{66790426-9A99-4C98-8266-DC0B3AE2C1F8}"/>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